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364" w:type="dxa"/>
        <w:jc w:val="center"/>
        <w:tblLayout w:type="fixed"/>
        <w:tblLook w:val="04A0" w:firstRow="1" w:lastRow="0" w:firstColumn="1" w:lastColumn="0" w:noHBand="0" w:noVBand="1"/>
      </w:tblPr>
      <w:tblGrid>
        <w:gridCol w:w="7682"/>
        <w:gridCol w:w="7682"/>
      </w:tblGrid>
      <w:tr w:rsidR="00D954D9" w:rsidRPr="00B80E31" w:rsidTr="00194E28">
        <w:trPr>
          <w:jc w:val="center"/>
        </w:trPr>
        <w:tc>
          <w:tcPr>
            <w:tcW w:w="7682" w:type="dxa"/>
            <w:tcBorders>
              <w:top w:val="nil"/>
              <w:left w:val="nil"/>
              <w:bottom w:val="nil"/>
              <w:right w:val="nil"/>
            </w:tcBorders>
            <w:tcMar>
              <w:top w:w="80" w:type="dxa"/>
              <w:left w:w="90" w:type="dxa"/>
              <w:bottom w:w="80" w:type="dxa"/>
              <w:right w:w="90" w:type="dxa"/>
            </w:tcMar>
          </w:tcPr>
          <w:p w:rsidR="00D954D9" w:rsidRPr="00B80E31" w:rsidRDefault="00D954D9" w:rsidP="00194E28">
            <w:pPr>
              <w:spacing w:line="240" w:lineRule="auto"/>
              <w:ind w:left="-108" w:right="-108"/>
              <w:contextualSpacing/>
              <w:jc w:val="center"/>
              <w:rPr>
                <w:rFonts w:cs="Times New Roman"/>
                <w:bCs/>
                <w:spacing w:val="-8"/>
                <w:sz w:val="26"/>
                <w:szCs w:val="26"/>
              </w:rPr>
            </w:pPr>
            <w:r w:rsidRPr="00B80E31">
              <w:rPr>
                <w:rFonts w:cs="Times New Roman" w:ascii="Times New Roman" w:hAnsi="Times New Roman" w:eastAsia="Times New Roman"/>
                <w:bCs/>
                <w:color w:val="000000"/>
                <w:spacing w:val="-8"/>
                <w:sz w:val="26"/>
                <w:szCs w:val="26"/>
              </w:rPr>
              <w:t>ỦY BAN NHÂN DÂN</w:t>
            </w:r>
          </w:p>
          <w:p w:rsidR="00D954D9" w:rsidRPr="00B80E31" w:rsidRDefault="00D954D9" w:rsidP="00194E28">
            <w:pPr>
              <w:spacing w:line="240" w:lineRule="auto"/>
              <w:ind w:left="-108" w:right="-108"/>
              <w:contextualSpacing/>
              <w:jc w:val="center"/>
              <w:rPr>
                <w:rFonts w:cs="Times New Roman"/>
                <w:bCs/>
                <w:spacing w:val="-8"/>
                <w:sz w:val="26"/>
                <w:szCs w:val="26"/>
              </w:rPr>
            </w:pPr>
            <w:r w:rsidRPr="00B80E31">
              <w:rPr>
                <w:rFonts w:cs="Times New Roman" w:ascii="Times New Roman" w:hAnsi="Times New Roman" w:eastAsia="Times New Roman"/>
                <w:bCs/>
                <w:color w:val="000000"/>
                <w:spacing w:val="-8"/>
                <w:sz w:val="26"/>
                <w:szCs w:val="26"/>
              </w:rPr>
              <w:t>THÀNH PHỐ HỒ CHÍ MINH</w:t>
            </w:r>
          </w:p>
          <w:p w:rsidR="00D954D9" w:rsidRPr="00B80E31" w:rsidRDefault="00D954D9" w:rsidP="00194E28">
            <w:pPr>
              <w:spacing w:after="0" w:line="240" w:lineRule="auto"/>
              <w:contextualSpacing/>
              <w:jc w:val="center"/>
              <w:rPr>
                <w:rFonts w:cs="Times New Roman"/>
              </w:rPr>
            </w:pPr>
            <w:r w:rsidRPr="00B80E31">
              <w:rPr>
                <w:rFonts w:cs="Times New Roman" w:ascii="Times New Roman" w:hAnsi="Times New Roman" w:eastAsia="Times New Roman"/>
                <w:noProof/>
                <w:color w:val="000000"/>
                <w:sz w:val="26"/>
                <w:szCs w:val="26"/>
              </w:rPr>
              <mc:AlternateContent>
                <mc:Choice Requires="wps">
                  <w:drawing>
                    <wp:anchor distT="0" distB="0" distL="114300" distR="114300" simplePos="0" relativeHeight="251659264" behindDoc="0" locked="0" layoutInCell="1" allowOverlap="1" wp14:anchorId="583166E2" wp14:editId="7A44D2E6">
                      <wp:simplePos x="0" y="0"/>
                      <wp:positionH relativeFrom="column">
                        <wp:posOffset>1437005</wp:posOffset>
                      </wp:positionH>
                      <wp:positionV relativeFrom="paragraph">
                        <wp:posOffset>211455</wp:posOffset>
                      </wp:positionV>
                      <wp:extent cx="1876425" cy="0"/>
                      <wp:effectExtent l="0" t="0" r="28575" b="19050"/>
                      <wp:wrapNone/>
                      <wp:docPr id="2" name="Straight Connector 2"/>
                      <wp:cNvGraphicFramePr/>
                      <a:graphic xmlns:a="http://schemas.openxmlformats.org/drawingml/2006/main">
                        <a:graphicData uri="http://schemas.microsoft.com/office/word/2010/wordprocessingShape">
                          <wps:wsp>
                            <wps:cNvCnPr/>
                            <wps:spPr bwMode="auto">
                              <a:xfrm>
                                <a:off x="0" y="0"/>
                                <a:ext cx="18764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3F8FEA4"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3.15pt,16.65pt" to="260.9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" strokecolor="black [3040]"/>
                  </w:pict>
                </mc:Fallback>
              </mc:AlternateContent>
            </w:r>
            <w:r w:rsidRPr="00B80E31">
              <w:rPr>
                <w:rFonts w:cs="Times New Roman" w:ascii="Times New Roman" w:hAnsi="Times New Roman" w:eastAsia="Times New Roman"/>
                <w:b/>
                <w:color w:val="000000"/>
                <w:spacing w:val="-8"/>
                <w:sz w:val="26"/>
                <w:szCs w:val="26"/>
              </w:rPr>
              <w:t>SỞ VĂN HÓA VÀ THỂ THAO</w:t>
            </w:r>
          </w:p>
        </w:tc>
        <w:tc>
          <w:tcPr>
            <w:tcW w:w="7682" w:type="dxa"/>
            <w:tcBorders>
              <w:top w:val="nil"/>
              <w:left w:val="nil"/>
              <w:bottom w:val="nil"/>
              <w:right w:val="nil"/>
            </w:tcBorders>
            <w:tcMar>
              <w:top w:w="80" w:type="dxa"/>
              <w:left w:w="90" w:type="dxa"/>
              <w:bottom w:w="80" w:type="dxa"/>
              <w:right w:w="90" w:type="dxa"/>
            </w:tcMar>
          </w:tcPr>
          <w:p w:rsidR="00D954D9" w:rsidRPr="00B80E31" w:rsidRDefault="00D954D9" w:rsidP="00194E28">
            <w:pPr>
              <w:spacing w:after="0" w:line="240" w:lineRule="auto"/>
              <w:jc w:val="center"/>
              <w:rPr>
                <w:rFonts w:cs="Times New Roman"/>
              </w:rPr>
            </w:pPr>
            <w:r w:rsidRPr="00B80E31">
              <w:rPr>
                <w:rFonts w:cs="Times New Roman" w:ascii="Times New Roman" w:hAnsi="Times New Roman" w:eastAsia="Times New Roman"/>
                <w:noProof/>
                <w:color w:val="000000"/>
                <w:szCs w:val="26"/>
              </w:rPr>
              <mc:AlternateContent>
                <mc:Choice Requires="wps">
                  <w:drawing>
                    <wp:anchor distT="0" distB="0" distL="114300" distR="114300" simplePos="0" relativeHeight="251660288" behindDoc="0" locked="0" layoutInCell="1" allowOverlap="1" wp14:anchorId="3D5BC9DA" wp14:editId="055B7343">
                      <wp:simplePos x="0" y="0"/>
                      <wp:positionH relativeFrom="column">
                        <wp:posOffset>1437005</wp:posOffset>
                      </wp:positionH>
                      <wp:positionV relativeFrom="paragraph">
                        <wp:posOffset>383540</wp:posOffset>
                      </wp:positionV>
                      <wp:extent cx="1876425" cy="0"/>
                      <wp:effectExtent l="0" t="0" r="28575" b="19050"/>
                      <wp:wrapNone/>
                      <wp:docPr id="1" name="Straight Connector 1"/>
                      <wp:cNvGraphicFramePr/>
                      <a:graphic xmlns:a="http://schemas.openxmlformats.org/drawingml/2006/main">
                        <a:graphicData uri="http://schemas.microsoft.com/office/word/2010/wordprocessingShape">
                          <wps:wsp>
                            <wps:cNvCnPr/>
                            <wps:spPr bwMode="auto">
                              <a:xfrm>
                                <a:off x="0" y="0"/>
                                <a:ext cx="18764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76FA6CE"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3.15pt,30.2pt" to="260.9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" strokecolor="black [3040]"/>
                  </w:pict>
                </mc:Fallback>
              </mc:AlternateContent>
            </w:r>
            <w:r w:rsidRPr="00B80E31">
              <w:rPr>
                <w:rFonts w:cs="Times New Roman" w:ascii="Times New Roman" w:hAnsi="Times New Roman" w:eastAsia="Times New Roman"/>
                <w:b/>
                <w:color w:val="000000"/>
              </w:rPr>
              <w:t>CỘNG HÒA XÃ HỘI CHỦ NGHĨA VIỆT NAM</w:t>
            </w:r>
            <w:r w:rsidRPr="00B80E31">
              <w:rPr>
                <w:rFonts w:cs="Times New Roman" w:ascii="Times New Roman" w:hAnsi="Times New Roman" w:eastAsia="Times New Roman"/>
                <w:color w:val="000000"/>
              </w:rPr>
              <w:br/>
            </w:r>
            <w:r w:rsidRPr="00B80E31">
              <w:rPr>
                <w:rFonts w:cs="Times New Roman" w:ascii="Times New Roman" w:hAnsi="Times New Roman" w:eastAsia="Times New Roman"/>
                <w:b/>
                <w:color w:val="000000"/>
              </w:rPr>
              <w:t>Độc lập - Tự do - Hạnh phúc</w:t>
            </w:r>
          </w:p>
        </w:tc>
      </w:tr>
      <w:tr w:rsidR="00D954D9" w:rsidRPr="00B80E31" w:rsidTr="00194E28">
        <w:trPr>
          <w:jc w:val="center"/>
        </w:trPr>
        <w:tc>
          <w:tcPr>
            <w:tcW w:w="7682" w:type="dxa"/>
            <w:tcBorders>
              <w:top w:val="nil"/>
              <w:left w:val="nil"/>
              <w:bottom w:val="nil"/>
              <w:right w:val="nil"/>
            </w:tcBorders>
            <w:tcMar>
              <w:top w:w="80" w:type="dxa"/>
              <w:left w:w="90" w:type="dxa"/>
              <w:bottom w:w="80" w:type="dxa"/>
              <w:right w:w="90" w:type="dxa"/>
            </w:tcMar>
          </w:tcPr>
          <w:p w:rsidR="00D954D9" w:rsidRPr="00B80E31" w:rsidRDefault="00D954D9" w:rsidP="00194E28">
            <w:pPr>
              <w:spacing w:after="0" w:line="240" w:lineRule="auto"/>
              <w:jc w:val="both"/>
              <w:rPr>
                <w:rFonts w:cs="Times New Roman"/>
              </w:rPr>
            </w:pPr>
            <w:r w:rsidRPr="002D503D">
              <w:rPr>
                <w:rFonts w:cs="Times New Roman" w:ascii="Times New Roman" w:hAnsi="Times New Roman" w:eastAsia="Times New Roman"/>
                <w:noProof/>
                <w:color w:val="000000"/>
                <w:sz w:val="26"/>
                <w:szCs w:val="26"/>
              </w:rPr>
              <mc:AlternateContent>
                <mc:Choice Requires="wps">
                  <w:drawing>
                    <wp:anchor distT="0" distB="0" distL="114300" distR="114300" simplePos="0" relativeHeight="251661312" behindDoc="0" locked="0" layoutInCell="1" allowOverlap="1" wp14:anchorId="20617442" wp14:editId="55B5D42D">
                      <wp:simplePos x="0" y="0"/>
                      <wp:positionH relativeFrom="column">
                        <wp:posOffset>1698625</wp:posOffset>
                      </wp:positionH>
                      <wp:positionV relativeFrom="paragraph">
                        <wp:posOffset>19685</wp:posOffset>
                      </wp:positionV>
                      <wp:extent cx="1211580" cy="323850"/>
                      <wp:effectExtent l="0" t="0" r="26670"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1580" cy="323850"/>
                              </a:xfrm>
                              <a:prstGeom prst="rect">
                                <a:avLst/>
                              </a:prstGeom>
                              <a:solidFill>
                                <a:srgbClr val="FFFFFF"/>
                              </a:solidFill>
                              <a:ln w="9525">
                                <a:solidFill>
                                  <a:srgbClr val="000000"/>
                                </a:solidFill>
                                <a:miter lim="800000"/>
                                <a:headEnd/>
                                <a:tailEnd/>
                              </a:ln>
                            </wps:spPr>
                            <wps:txbx>
                              <w:txbxContent>
                                <w:p w:rsidR="00D954D9" w:rsidRPr="00BD786D" w:rsidRDefault="00D954D9" w:rsidP="00D954D9">
                                  <w:pPr>
                                    <w:jc w:val="center"/>
                                    <w:rPr>
                                      <w:b/>
                                      <w:bCs/>
                                      <w:sz w:val="28"/>
                                      <w:szCs w:val="28"/>
                                    </w:rPr>
                                  </w:pPr>
                                  <w:r w:rsidRPr="00BD786D">
                                    <w:rPr>
                                      <w:b/>
                                      <w:bCs/>
                                      <w:sz w:val="28"/>
                                      <w:szCs w:val="28"/>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17442" id="Text Box 2" o:spid="_x0000_s1026" style="position:absolute;left:0;text-align:left;margin-left:133.75pt;margin-top:1.55pt;width:95.4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">
                      <v:textbox>
                        <w:txbxContent>
                          <w:p w:rsidR="00D954D9" w:rsidRPr="00BD786D" w:rsidRDefault="00D954D9" w:rsidP="00D954D9">
                            <w:pPr>
                              <w:jc w:val="center"/>
                              <w:rPr>
                                <w:b/>
                                <w:bCs/>
                                <w:sz w:val="28"/>
                                <w:szCs w:val="28"/>
                              </w:rPr>
                            </w:pPr>
                            <w:r w:rsidRPr="00BD786D">
                              <w:rPr>
                                <w:b/>
                                <w:bCs/>
                                <w:sz w:val="28"/>
                                <w:szCs w:val="28"/>
                              </w:rPr>
                              <w:t>Dự thảo</w:t>
                            </w:r>
                          </w:p>
                        </w:txbxContent>
                      </v:textbox>
                    </v:rect>
                  </w:pict>
                </mc:Fallback>
              </mc:AlternateContent>
            </w:r>
          </w:p>
        </w:tc>
        <w:tc>
          <w:tcPr>
            <w:tcW w:w="7682" w:type="dxa"/>
            <w:tcBorders>
              <w:top w:val="nil"/>
              <w:left w:val="nil"/>
              <w:bottom w:val="nil"/>
              <w:right w:val="nil"/>
            </w:tcBorders>
            <w:tcMar>
              <w:top w:w="80" w:type="dxa"/>
              <w:left w:w="90" w:type="dxa"/>
              <w:bottom w:w="80" w:type="dxa"/>
              <w:right w:w="90" w:type="dxa"/>
            </w:tcMar>
          </w:tcPr>
          <w:p w:rsidR="00D954D9" w:rsidRPr="00B80E31" w:rsidRDefault="00D954D9" w:rsidP="00194E28">
            <w:pPr>
              <w:jc w:val="center"/>
              <w:rPr>
                <w:rFonts w:cs="Times New Roman"/>
                <w:i/>
              </w:rPr>
            </w:pPr>
            <w:r w:rsidRPr="00B80E31">
              <w:rPr>
                <w:rFonts w:cs="Times New Roman" w:ascii="Times New Roman" w:hAnsi="Times New Roman" w:eastAsia="Times New Roman"/>
                <w:i/>
                <w:color w:val="000000"/>
              </w:rPr>
              <w:t xml:space="preserve">Thành phố Hồ Chí Minh, ngày </w:t>
            </w:r>
            <w:r>
              <w:rPr>
                <w:rFonts w:cs="Times New Roman" w:ascii="Times New Roman" w:hAnsi="Times New Roman" w:eastAsia="Times New Roman"/>
                <w:i/>
                <w:color w:val="000000"/>
              </w:rPr>
              <w:t xml:space="preserve">  </w:t>
            </w:r>
            <w:r w:rsidRPr="00B80E31">
              <w:rPr>
                <w:rFonts w:cs="Times New Roman" w:ascii="Times New Roman" w:hAnsi="Times New Roman" w:eastAsia="Times New Roman"/>
                <w:i/>
                <w:color w:val="000000"/>
              </w:rPr>
              <w:t xml:space="preserve">    tháng    </w:t>
            </w:r>
            <w:r>
              <w:rPr>
                <w:rFonts w:cs="Times New Roman" w:ascii="Times New Roman" w:hAnsi="Times New Roman" w:eastAsia="Times New Roman"/>
                <w:i/>
                <w:color w:val="000000"/>
              </w:rPr>
              <w:t xml:space="preserve">  </w:t>
            </w:r>
            <w:r w:rsidRPr="00B80E31">
              <w:rPr>
                <w:rFonts w:cs="Times New Roman" w:ascii="Times New Roman" w:hAnsi="Times New Roman" w:eastAsia="Times New Roman"/>
                <w:i/>
                <w:color w:val="000000"/>
              </w:rPr>
              <w:t xml:space="preserve"> năm 2026</w:t>
            </w:r>
          </w:p>
        </w:tc>
      </w:tr>
    </w:tbl>
    <w:p w:rsidR="002B35EB" w:rsidRPr="00563D00" w:rsidRDefault="00BA0D19" w:rsidP="00563D00">
      <w:pPr>
        <w:spacing w:after="120"/>
        <w:ind w:firstLine="0"/>
        <w:jc w:val="center"/>
        <w:rPr>
          <w:sz w:val="28"/>
          <w:szCs w:val="28"/>
        </w:rPr>
      </w:pPr>
      <w:r>
        <w:rPr>
          <w:rFonts w:ascii="Times New Roman" w:hAnsi="Times New Roman" w:eastAsia="Times New Roman"/>
          <w:b/>
          <w:color w:val="000000"/>
          <w:sz w:val="28"/>
        </w:rPr>
        <w:t>BẢN TỔNG HỢP Ý KIẾN, TIẾP THU, GIẢI TRÌNH Ý KIẾN GÓP Ý, THAM VẤN CHÍNH SÁCH ĐỐI VỚI</w:t>
        <w:br/>
        <w:t>DỰ THẢO QUYẾT ĐỊNH BAN HÀNH QUY ĐỊNH YÊU CẦU, ĐIỀU KIỆN, HỒ SƠ QUẢN LÝ,</w:t>
        <w:br/>
        <w:t>BIỆN PHÁP BẢO VỆ, BẢO QUẢN, TU BỔ, PHỤC HỒI DI TÍCH, CẢI TẠO CÔNG TRÌNH</w:t>
        <w:br/>
        <w:t>KIẾN TRÚC CÓ GIÁ TRỊ TRÊN ĐỊA BÀN THÀNH PHỐ HỒ CHÍ MINH</w:t>
      </w:r>
    </w:p>
    <w:p w:rsidR="002B35EB" w:rsidRPr="00D954D9" w:rsidRDefault="00BA0D19" w:rsidP="0017174B">
      <w:pPr>
        <w:spacing w:after="0"/>
        <w:ind w:firstLine="454"/>
        <w:jc w:val="both"/>
        <w:rPr>
          <w:sz w:val="40"/>
          <w:szCs w:val="28"/>
        </w:rPr>
      </w:pPr>
      <w:r>
        <w:rPr>
          <w:rFonts w:ascii="Times New Roman" w:hAnsi="Times New Roman" w:eastAsia="Times New Roman"/>
          <w:b w:val="0"/>
          <w:color w:val="000000"/>
          <w:sz w:val="28"/>
        </w:rPr>
      </w:r>
      <w:r>
        <w:rPr>
          <w:rFonts w:ascii="Times New Roman" w:hAnsi="Times New Roman" w:eastAsia="Times New Roman"/>
          <w:color w:val="000000"/>
          <w:sz w:val="28"/>
        </w:rPr>
        <w:t>Căn cứ Luật Ban hành văn bản quy phạm pháp luật và Nghị quyết số 39/2026/NQ-HĐND ngày 27 tháng 8 năm 2026 của Hội đồng nhân dân Thành phố Hồ Chí Minh, Sở Văn hóa và Thể thao là cơ quan chủ trì soạn thảo đã tổ chức lấy ý kiến góp ý, tham vấn chính sách đối với hồ sơ dự thảo Quyết định của Ủy ban nhân dân Thành phố ban hành Quy định yêu cầu, điều kiện, hồ sơ quản lý, biện pháp bảo vệ, bảo quản, tu bổ, phục hồi di tích, cải tạo công trình kiến trúc có giá trị trên địa bàn Thành phố Hồ Chí Minh.</w:t>
      </w:r>
    </w:p>
    <w:p w:rsidR="002B35EB" w:rsidRPr="00D954D9" w:rsidRDefault="00BA0D19" w:rsidP="0017174B">
      <w:pPr>
        <w:spacing w:after="0"/>
        <w:ind w:firstLine="567"/>
        <w:jc w:val="both"/>
        <w:rPr>
          <w:sz w:val="40"/>
          <w:szCs w:val="28"/>
        </w:rPr>
        <w:keepNext/>
      </w:pPr>
      <w:r>
        <w:rPr>
          <w:rFonts w:ascii="Times New Roman" w:hAnsi="Times New Roman" w:eastAsia="Times New Roman"/>
          <w:b/>
          <w:color w:val="000000"/>
          <w:sz w:val="28"/>
        </w:rPr>
        <w:t>1. Tổng số cơ quan, tổ chức, cá nhân đã gửi xin ý kiến, tham vấn và tổng số ý kiến nhận được</w:t>
      </w:r>
    </w:p>
    <w:p w:rsidR="002B35EB" w:rsidRPr="00D954D9" w:rsidRDefault="00BE0356" w:rsidP="0017174B">
      <w:pPr>
        <w:spacing w:after="0"/>
        <w:ind w:firstLine="454"/>
        <w:jc w:val="both"/>
        <w:rPr>
          <w:color w:val="FF0000"/>
          <w:sz w:val="40"/>
          <w:szCs w:val="28"/>
        </w:rPr>
      </w:pPr>
      <w:r>
        <w:rPr>
          <w:rFonts w:ascii="Times New Roman" w:hAnsi="Times New Roman" w:eastAsia="Times New Roman"/>
          <w:b w:val="0"/>
          <w:color w:val="000000"/>
          <w:sz w:val="28"/>
        </w:rPr>
        <w:t>Sở Văn hóa và Thể thao đã gửi hồ sơ dự thảo Quyết định để lấy ý kiến 181 cơ quan, tổ chức, gồm 13 cơ quan, tổ chức được nêu cụ thể tại phần “Kính gửi” của Công văn lấy ý kiến và 168 Ủy ban nhân dân phường, xã, đặc khu trên địa bàn Thành phố. Đến ngày 04 tháng 9 năm 2026, Sở Văn hóa và Thể thao đã nhận được 102 ý kiến; trong đó 94 ý kiến thống nhất với hồ sơ dự thảo, không có ý kiến góp ý bổ sung và 08 ý kiến có nội dung cần tổng hợp, tiếp thu, giải trình cụ thể. Số cơ quan, tổ chức chưa có văn bản phản hồi tại thời điểm tổng hợp không được tính vào tổng số ý kiến nhận được.</w:t>
      </w:r>
    </w:p>
    <w:p>
      <w:pPr>
        <w:spacing w:after="0"/>
        <w:ind w:firstLine="454"/>
        <w:jc w:val="both"/>
        <w:rPr>
          <w:color w:val="FF0000"/>
          <w:sz w:val="40"/>
          <w:szCs w:val="28"/>
        </w:rPr>
      </w:pPr>
      <w:r>
        <w:rPr>
          <w:rFonts w:ascii="Times New Roman" w:hAnsi="Times New Roman"/>
          <w:b w:val="0"/>
          <w:sz w:val="28"/>
        </w:rPr>
        <w:t>Từ ngày 03 tháng 9 năm 2026, hồ sơ dự thảo được đăng tải trên Trang thông tin điện tử của Sở Văn hóa và Thể thao để lấy ý kiến cơ quan, tổ chức, cá nhân đến hết ngày 13 tháng 9 năm 2026; đồng thời hồ sơ đã được đăng tải trên chuyên mục Văn bản dự thảo của Cổng thông tin điện tử Thành phố Hồ Chí Minh (mã dự thảo 10148). Kết quả nêu trên được tổng hợp đến ngày 04 tháng 9 năm 2026. Cần đối chiếu các ý kiến tiếp nhận đến hết ngày 13 tháng 9 năm 2026 trước khi ký xác nhận bản tổng hợp phục vụ thẩm định.</w:t>
      </w:r>
    </w:p>
    <w:p w:rsidR="002B35EB" w:rsidRPr="00D954D9" w:rsidRDefault="00BA0D19" w:rsidP="0017174B">
      <w:pPr>
        <w:spacing w:after="0"/>
        <w:ind w:firstLine="567"/>
        <w:jc w:val="both"/>
        <w:rPr>
          <w:sz w:val="40"/>
          <w:szCs w:val="28"/>
        </w:rPr>
        <w:keepNext/>
      </w:pPr>
      <w:r>
        <w:rPr>
          <w:rFonts w:ascii="Times New Roman" w:hAnsi="Times New Roman" w:eastAsia="Times New Roman"/>
          <w:b/>
          <w:color w:val="000000"/>
          <w:sz w:val="28"/>
        </w:rPr>
        <w:t>2. Kết quả cụ thể như sau:</w:t>
      </w:r>
    </w:p>
    <w:tbl>
      <w:tblPr>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13"/>
        <w:gridCol w:w="3674"/>
        <w:gridCol w:w="5085"/>
        <w:gridCol w:w="2957"/>
      </w:tblGrid>
      <w:tr w:rsidR="002B35EB" w:rsidRPr="00D954D9" w:rsidTr="0017174B">
        <w:trPr>
          <w:tblHeader w:val="true"/>
        </w:trPr>
        <w:tc>
          <w:tcPr>
            <w:tcW w:w="2313" w:type="dxa"/>
            <w:shd w:val="clear" w:color="auto" w:fill="D9EAF7"/>
            <w:tcMar>
              <w:top w:w="80" w:type="dxa"/>
              <w:left w:w="80" w:type="dxa"/>
              <w:bottom w:w="80" w:type="dxa"/>
              <w:right w:w="80" w:type="dxa"/>
            </w:tcMar>
            <w:vAlign w:val="center"/>
          </w:tcPr>
          <w:p>
            <w:pPr>
              <w:spacing w:after="0"/>
              <w:ind w:firstLine="0"/>
              <w:jc w:val="center"/>
            </w:pPr>
            <w:r>
              <w:rPr>
                <w:rFonts w:ascii="Times New Roman" w:hAnsi="Times New Roman" w:eastAsia="Times New Roman"/>
                <w:b/>
                <w:color w:val="000000"/>
                <w:sz w:val="20"/>
              </w:rPr>
              <w:t>CHÍNH SÁCH HOẶC NHÓM VẤN ĐỀ, ĐIỀU, KHOẢN</w:t>
            </w:r>
          </w:p>
        </w:tc>
        <w:tc>
          <w:tcPr>
            <w:tcW w:w="3674" w:type="dxa"/>
            <w:shd w:val="clear" w:color="auto" w:fill="D9EAF7"/>
            <w:tcMar>
              <w:top w:w="80" w:type="dxa"/>
              <w:left w:w="80" w:type="dxa"/>
              <w:bottom w:w="80" w:type="dxa"/>
              <w:right w:w="80" w:type="dxa"/>
            </w:tcMar>
            <w:vAlign w:val="center"/>
          </w:tcPr>
          <w:p>
            <w:pPr>
              <w:spacing w:after="0"/>
              <w:ind w:firstLine="0"/>
              <w:jc w:val="center"/>
            </w:pPr>
            <w:r>
              <w:rPr>
                <w:rFonts w:ascii="Times New Roman" w:hAnsi="Times New Roman" w:eastAsia="Times New Roman"/>
                <w:b/>
                <w:color w:val="000000"/>
                <w:sz w:val="20"/>
              </w:rPr>
              <w:t>CHỦ THỂ GÓP Ý/THAM VẤN/PHẢN BIỆN</w:t>
            </w:r>
          </w:p>
        </w:tc>
        <w:tc>
          <w:tcPr>
            <w:tcW w:w="5085" w:type="dxa"/>
            <w:shd w:val="clear" w:color="auto" w:fill="D9EAF7"/>
            <w:tcMar>
              <w:top w:w="80" w:type="dxa"/>
              <w:left w:w="80" w:type="dxa"/>
              <w:bottom w:w="80" w:type="dxa"/>
              <w:right w:w="80" w:type="dxa"/>
            </w:tcMar>
            <w:vAlign w:val="center"/>
          </w:tcPr>
          <w:p>
            <w:pPr>
              <w:spacing w:after="0"/>
              <w:ind w:firstLine="0"/>
              <w:jc w:val="center"/>
            </w:pPr>
            <w:r>
              <w:rPr>
                <w:rFonts w:ascii="Times New Roman" w:hAnsi="Times New Roman" w:eastAsia="Times New Roman"/>
                <w:b/>
                <w:color w:val="000000"/>
                <w:sz w:val="20"/>
              </w:rPr>
              <w:t>NỘI DUNG GÓP Ý/THAM VẤN/PHẢN BIỆN</w:t>
            </w:r>
          </w:p>
        </w:tc>
        <w:tc>
          <w:tcPr>
            <w:tcW w:w="2957" w:type="dxa"/>
            <w:shd w:val="clear" w:color="auto" w:fill="D9EAF7"/>
            <w:tcMar>
              <w:top w:w="80" w:type="dxa"/>
              <w:left w:w="80" w:type="dxa"/>
              <w:bottom w:w="80" w:type="dxa"/>
              <w:right w:w="80" w:type="dxa"/>
            </w:tcMar>
            <w:vAlign w:val="center"/>
          </w:tcPr>
          <w:p>
            <w:pPr>
              <w:spacing w:after="0"/>
              <w:ind w:firstLine="0"/>
              <w:jc w:val="center"/>
            </w:pPr>
            <w:r>
              <w:rPr>
                <w:rFonts w:ascii="Times New Roman" w:hAnsi="Times New Roman" w:eastAsia="Times New Roman"/>
                <w:b/>
                <w:color w:val="000000"/>
                <w:sz w:val="20"/>
              </w:rPr>
              <w:t>NỘI DUNG TIẾP THU, GIẢI TRÌNH</w:t>
            </w:r>
          </w:p>
        </w:tc>
      </w:tr>
      <w:tr w:rsidR="002B35EB" w:rsidRPr="00D954D9" w:rsidTr="0017174B">
        <w:tc>
          <w:tcPr>
            <w:tcW w:w="14029" w:type="dxa"/>
            <w:gridSpan w:val="4"/>
            <w:shd w:val="clear" w:color="auto" w:fill="D9EAF7"/>
            <w:tcMar>
              <w:top w:w="80" w:type="dxa"/>
              <w:left w:w="80" w:type="dxa"/>
              <w:bottom w:w="80" w:type="dxa"/>
              <w:right w:w="80" w:type="dxa"/>
            </w:tcMar>
          </w:tcPr>
          <w:p w:rsidR="002B35EB" w:rsidRPr="00D954D9" w:rsidRDefault="00BA0D19">
            <w:pPr>
              <w:spacing w:after="0" w:line="240" w:lineRule="auto"/>
              <w:jc w:val="center"/>
              <w:rPr>
                <w:rFonts w:cs="Times New Roman"/>
                <w:sz w:val="26"/>
                <w:szCs w:val="26"/>
              </w:rPr>
            </w:pPr>
            <w:r w:rsidRPr="00D954D9">
              <w:rPr>
                <w:rFonts w:cs="Times New Roman" w:ascii="Times New Roman" w:hAnsi="Times New Roman" w:eastAsia="Times New Roman"/>
                <w:b/>
                <w:color w:val="000000"/>
                <w:sz w:val="26"/>
                <w:szCs w:val="26"/>
              </w:rPr>
              <w:t>I. Ý kiến thống nhất với hồ sơ dự thảo</w:t>
            </w:r>
          </w:p>
        </w:tc>
      </w:tr>
      <w:tr w:rsidR="002B35EB" w:rsidRPr="00D954D9" w:rsidTr="0017174B">
        <w:trPr>
          <w:cantSplit/>
        </w:trPr>
        <w:tc>
          <w:tcPr>
            <w:tcW w:w="2313" w:type="dxa"/>
            <w:tcMar>
              <w:top w:w="80" w:type="dxa"/>
              <w:left w:w="80" w:type="dxa"/>
              <w:bottom w:w="80" w:type="dxa"/>
              <w:right w:w="80" w:type="dxa"/>
            </w:tcMar>
          </w:tcPr>
          <w:p w:rsidR="002B35EB" w:rsidRPr="00D954D9" w:rsidRDefault="00DD534A"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Hồ sơ dự thảo Quyết định</w:t>
            </w:r>
          </w:p>
        </w:tc>
        <w:tc>
          <w:tcPr>
            <w:tcW w:w="3674" w:type="dxa"/>
            <w:tcMar>
              <w:top w:w="80" w:type="dxa"/>
              <w:left w:w="80" w:type="dxa"/>
              <w:bottom w:w="80" w:type="dxa"/>
              <w:right w:w="80" w:type="dxa"/>
            </w:tcMar>
          </w:tcPr>
          <w:p w:rsidR="002B35EB" w:rsidRPr="00D954D9" w:rsidRDefault="00BA0D19"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Nhóm sở, ngành, cơ quan cấp Thành phố (04 đơn vị):</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an Thành phố; Sở Du lịch; Sở Nội vụ; Sở Xây dựng.</w:t>
            </w:r>
          </w:p>
        </w:tc>
        <w:tc>
          <w:tcPr>
            <w:tcW w:w="5085" w:type="dxa"/>
            <w:tcMar>
              <w:top w:w="80" w:type="dxa"/>
              <w:left w:w="80" w:type="dxa"/>
              <w:bottom w:w="80" w:type="dxa"/>
              <w:right w:w="80" w:type="dxa"/>
            </w:tcMar>
          </w:tcPr>
          <w:p w:rsidR="002B35EB" w:rsidRPr="00D954D9" w:rsidRDefault="00BA0D19"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Thống nhất với hồ sơ dự thảo; không có ý kiến góp ý bổ sung.</w:t>
            </w:r>
          </w:p>
        </w:tc>
        <w:tc>
          <w:tcPr>
            <w:tcW w:w="2957" w:type="dxa"/>
            <w:tcMar>
              <w:top w:w="80" w:type="dxa"/>
              <w:left w:w="80" w:type="dxa"/>
              <w:bottom w:w="80" w:type="dxa"/>
              <w:right w:w="80" w:type="dxa"/>
            </w:tcMar>
          </w:tcPr>
          <w:p w:rsidR="002B35EB" w:rsidRPr="00D954D9" w:rsidRDefault="00DD534A"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Sở Văn hóa và Thể thao tiếp thu ý kiến.</w:t>
            </w:r>
          </w:p>
        </w:tc>
      </w:tr>
      <w:tr w:rsidR="002B35EB" w:rsidRPr="00D954D9" w:rsidTr="0017174B">
        <w:tc>
          <w:tcPr>
            <w:tcW w:w="2313" w:type="dxa"/>
            <w:tcMar>
              <w:top w:w="80" w:type="dxa"/>
              <w:left w:w="80" w:type="dxa"/>
              <w:bottom w:w="80" w:type="dxa"/>
              <w:right w:w="80" w:type="dxa"/>
            </w:tcMar>
          </w:tcPr>
          <w:p w:rsidR="002B35EB" w:rsidRPr="00D954D9" w:rsidRDefault="00DD534A"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lastRenderedPageBreak/>
              <w:t>Hồ sơ dự thảo Quyết định</w:t>
            </w:r>
          </w:p>
        </w:tc>
        <w:tc>
          <w:tcPr>
            <w:tcW w:w="3674" w:type="dxa"/>
            <w:tcMar>
              <w:top w:w="80" w:type="dxa"/>
              <w:left w:w="80" w:type="dxa"/>
              <w:bottom w:w="80" w:type="dxa"/>
              <w:right w:w="80" w:type="dxa"/>
            </w:tcMar>
          </w:tcPr>
          <w:p w:rsidR="002B35EB" w:rsidRPr="00D954D9" w:rsidRDefault="00BA0D19"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Ý kiến của Ủy ban nhân dân phường, xã và Phòng Văn hóa - Xã hội phường, xã (</w:t>
            </w:r>
            <w:r w:rsidR="00297277">
              <w:rPr>
                <w:rFonts w:cs="Times New Roman" w:ascii="Times New Roman" w:hAnsi="Times New Roman" w:eastAsia="Times New Roman"/>
                <w:color w:val="000000"/>
                <w:sz w:val="26"/>
                <w:szCs w:val="26"/>
              </w:rPr>
              <w:t>90</w:t>
            </w:r>
            <w:r w:rsidRPr="00D954D9">
              <w:rPr>
                <w:rFonts w:cs="Times New Roman" w:ascii="Times New Roman" w:hAnsi="Times New Roman" w:eastAsia="Times New Roman"/>
                <w:color w:val="000000"/>
                <w:sz w:val="26"/>
                <w:szCs w:val="26"/>
              </w:rPr>
              <w:t xml:space="preserve"> đơn vị):</w:t>
            </w:r>
          </w:p>
          <w:p w:rsidR="005807F3" w:rsidRPr="00D954D9" w:rsidRDefault="00B60743">
            <w:pPr>
              <w:spacing w:after="0" w:line="240" w:lineRule="auto"/>
              <w:jc w:val="both"/>
              <w:rPr>
                <w:rFonts w:cs="Times New Roman"/>
                <w:sz w:val="26"/>
                <w:szCs w:val="26"/>
              </w:rPr>
            </w:pPr>
            <w:r>
              <w:rPr>
                <w:rFonts w:ascii="Times New Roman" w:hAnsi="Times New Roman" w:eastAsia="Times New Roman"/>
                <w:color w:val="000000"/>
                <w:sz w:val="20"/>
              </w:rPr>
              <w:t xml:space="preserve">phường An Đông; phường An Hội Tây; phường An Khánh; phường An Nhơn; phường An Phú; phường An Phú Đông; phường Bến Cát; phường Bình Cơ; phường Bình Dương; phường Bình Hòa; phường Bình Lợi Trung; phường Bình Phú; phường Bình Tân; phường Bình Thạnh; phường Bình Tiên; phường Bình Trị Đông; phường Cầu Ông Lãnh; phường Chánh Hưng; phường Chợ Lớn; phường Chợ Quán; phường Dĩ An; phường Đức Nhuận; phường Hạnh Thông; phường Hòa Lợi; phường Khánh Hội; phường Lái Thiêu; phường Long Bình; phường Long Hương; phường Long Nguyên; phường Long Phước; phường Minh Phụng; phường Phú An; phường Phú Định; phường Phú Nhuận; phường Phú Thọ; phường Phú Thọ Hòa; phường Phú Thuận; phường Phước Long; phường Tam Bình; phường Tăng Nhơn Phú; phường Tân Bình; phường Tân Định; phường Tân Hiệp; phường Tân Hòa; phường Tân Mỹ; phường Tân Phú; phường Tân </w:t>
            </w:r>
            <w:r>
              <w:rPr>
                <w:rFonts w:ascii="Times New Roman" w:hAnsi="Times New Roman" w:eastAsia="Times New Roman"/>
                <w:color w:val="000000"/>
                <w:sz w:val="20"/>
              </w:rPr>
              <w:lastRenderedPageBreak/>
              <w:t>Sơn Nhất; phường Tân Tạo; phường Tân Thành; phường Tân Thới Hiệp; phường Tây Nam; phường Tây Thạnh; phường Thạnh Mỹ Tây; phường Thủ Đức; phường Thới Hòa; phường Thuận Giao; phường Trung Mỹ Tây; phường Vĩnh Hội; phường Vườn Lài; phường Xuân Hòa; phường Xóm Chiếu; xã An Long; xã Bàu Bàng; xã Bắc Tân Uyên; xã Bình Chánh; xã Bình Giã; xã Bình Mỹ; xã Châu Đức; xã Dầu Tiếng; xã Đất Đỏ; xã Hiệp Phước; xã Hóc Môn; xã Kim Long; xã Long Điền; xã Long Hải; xã Long Hòa; xã Long Sơn; xã Minh Thạnh; xã Nhuận Đức; xã Phú Giáo; xã Phước Hải; xã Tân An Hội; xã Tân Nhựt; xã Tân Vĩnh Lộc; xã Thanh An; xã Thái Mỹ; xã Thường Tân; xã Vĩnh Lộc; xã Xuân Thới Sơn; xã Xuyên Mộc.</w:t>
            </w:r>
          </w:p>
        </w:tc>
        <w:tc>
          <w:tcPr>
            <w:tcW w:w="5085" w:type="dxa"/>
            <w:tcMar>
              <w:top w:w="80" w:type="dxa"/>
              <w:left w:w="80" w:type="dxa"/>
              <w:bottom w:w="80" w:type="dxa"/>
              <w:right w:w="80" w:type="dxa"/>
            </w:tcMar>
          </w:tcPr>
          <w:p w:rsidR="002B35EB" w:rsidRPr="00D954D9" w:rsidRDefault="00BA0D19"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lastRenderedPageBreak/>
              <w:t>Thống nhất với hồ sơ dự thảo; không có ý kiến góp ý bổ sung.</w:t>
            </w:r>
          </w:p>
        </w:tc>
        <w:tc>
          <w:tcPr>
            <w:tcW w:w="2957" w:type="dxa"/>
            <w:tcMar>
              <w:top w:w="80" w:type="dxa"/>
              <w:left w:w="80" w:type="dxa"/>
              <w:bottom w:w="80" w:type="dxa"/>
              <w:right w:w="80" w:type="dxa"/>
            </w:tcMar>
          </w:tcPr>
          <w:p w:rsidR="002B35EB" w:rsidRPr="00D954D9" w:rsidRDefault="00DD534A"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Sở Văn hóa và Thể thao tiếp thu ý kiến.</w:t>
            </w:r>
          </w:p>
        </w:tc>
      </w:tr>
      <w:tr w:rsidR="002B35EB" w:rsidRPr="00D954D9" w:rsidTr="0017174B">
        <w:tc>
          <w:tcPr>
            <w:tcW w:w="14029" w:type="dxa"/>
            <w:gridSpan w:val="4"/>
            <w:shd w:val="clear" w:color="auto" w:fill="D9EAF7"/>
            <w:tcMar>
              <w:top w:w="80" w:type="dxa"/>
              <w:left w:w="80" w:type="dxa"/>
              <w:bottom w:w="80" w:type="dxa"/>
              <w:right w:w="80" w:type="dxa"/>
            </w:tcMar>
          </w:tcPr>
          <w:p w:rsidR="002B35EB" w:rsidRPr="00D954D9" w:rsidRDefault="00BA0D19">
            <w:pPr>
              <w:spacing w:after="0" w:line="240" w:lineRule="auto"/>
              <w:jc w:val="center"/>
              <w:rPr>
                <w:rFonts w:cs="Times New Roman"/>
                <w:sz w:val="26"/>
                <w:szCs w:val="26"/>
              </w:rPr>
            </w:pPr>
            <w:r w:rsidRPr="00D954D9">
              <w:rPr>
                <w:rFonts w:cs="Times New Roman" w:ascii="Times New Roman" w:hAnsi="Times New Roman" w:eastAsia="Times New Roman"/>
                <w:b/>
                <w:color w:val="000000"/>
                <w:sz w:val="26"/>
                <w:szCs w:val="26"/>
              </w:rPr>
              <w:lastRenderedPageBreak/>
              <w:t>II. Ý kiến góp ý cụ thể và nội dung tiếp thu, giải trình</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lastRenderedPageBreak/>
              <w:t>Thành phần hồ sơ - Bản đánh giá việc ứng dụng khoa học, công nghệ, đổi mới sáng tạo và chuyển đổi số</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Sở Khoa học và Công nghệ</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8338/SKHCN-KTPC ngày 21/8/2026)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 xml:space="preserve">1. </w:t>
            </w:r>
            <w:r w:rsidRPr="00D954D9">
              <w:rPr>
                <w:rFonts w:cs="Times New Roman" w:ascii="Times New Roman" w:hAnsi="Times New Roman" w:eastAsia="Times New Roman"/>
                <w:color w:val="000000"/>
                <w:sz w:val="26"/>
                <w:szCs w:val="26"/>
              </w:rPr>
              <w:t>Sở Khoa học và Công nghệ cho rằng hồ sơ chưa xác định dự thảo có nội dung liên quan đến ứng dụng, thúc đẩy phát triển khoa học, công nghệ, đổi mới sáng tạo và chuyển đổi số và chưa có Bản đánh giá kèm theo.</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 xml:space="preserve">Trường hợp xác định dự thảo có nội dung liên quan, đề nghị bổ sung Bản đánh giá theo </w:t>
            </w:r>
            <w:r w:rsidRPr="00D954D9">
              <w:rPr>
                <w:rFonts w:cs="Times New Roman" w:ascii="Times New Roman" w:hAnsi="Times New Roman" w:eastAsia="Times New Roman"/>
                <w:i/>
                <w:color w:val="000000"/>
                <w:sz w:val="26"/>
                <w:szCs w:val="26"/>
              </w:rPr>
              <w:t>Mẫu số 06 Phụ lục IV ban hành kèm Nghị định số 187/2025/NĐ-CP</w:t>
            </w:r>
            <w:r w:rsidRPr="00D954D9">
              <w:rPr>
                <w:rFonts w:cs="Times New Roman" w:ascii="Times New Roman" w:hAnsi="Times New Roman" w:eastAsia="Times New Roman"/>
                <w:color w:val="000000"/>
                <w:sz w:val="26"/>
                <w:szCs w:val="26"/>
              </w:rPr>
              <w:t xml:space="preserve"> để Sở Khoa học và Công nghệ có ý kiến theo quy định.</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Pr>
                <w:rFonts w:cs="Times New Roman" w:ascii="Times New Roman" w:hAnsi="Times New Roman" w:eastAsia="Times New Roman"/>
                <w:color w:val="000000"/>
                <w:sz w:val="26"/>
                <w:szCs w:val="26"/>
              </w:rPr>
              <w:t xml:space="preserve">Tiếp thu. Qua rà soát, dự thảo có các nội dung về hồ sơ điện tử, cơ sở dữ liệu, kết nối, chia sẻ và liên thông dữ liệu tại Điều 13, Điều 32 và các điều có liên quan. </w:t>
            </w:r>
            <w:r>
              <w:rPr>
                <w:rFonts w:cs="Times New Roman" w:ascii="Times New Roman" w:hAnsi="Times New Roman" w:eastAsia="Times New Roman"/>
                <w:color w:val="000000"/>
                <w:sz w:val="26"/>
                <w:szCs w:val="26"/>
              </w:rPr>
              <w:t>Cơ quan soạn thảo đã bổ sung Bản đánh giá</w:t>
            </w:r>
            <w:r>
              <w:rPr>
                <w:rFonts w:cs="Times New Roman" w:ascii="Times New Roman" w:hAnsi="Times New Roman" w:eastAsia="Times New Roman"/>
                <w:color w:val="000000"/>
                <w:sz w:val="26"/>
                <w:szCs w:val="26"/>
              </w:rPr>
              <w:t xml:space="preserve"> theo đúng Mẫu số 06 Phụ lục IV ban hành kèm Nghị định số 187/2025/NĐ-CP vào thành phần hồ sơ; không bổ sung biểu mẫu khác vào dự thảo Quyết định.</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lastRenderedPageBreak/>
              <w:t>Cơ sở pháp lý, thẩm quyền và căn cứ ban hành</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Sở Tư pháp</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10644/STP-VB ngày 19/8/2026)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1. Về cơ sở pháp lý và thẩm quyền ban hành văn bản</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Sở Tư pháp xác định Ủy ban nhân dân Thành phố có thẩm quyền ban hành Quyết định để quy định chi tiết nội dung được giao; đồng thời đề nghị không ghi Luật Ban hành văn bản quy phạm pháp luật, Nghị định số 78/2025/NĐ-CP và Nghị định số 187/2025/NĐ-CP vào phần căn cứ ban hành vì đây là các văn bản về trình tự, thủ tục xây dựng văn bản.</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Pr>
                <w:rFonts w:cs="Times New Roman" w:ascii="Times New Roman" w:hAnsi="Times New Roman" w:eastAsia="Times New Roman"/>
                <w:color w:val="000000"/>
                <w:sz w:val="26"/>
                <w:szCs w:val="26"/>
              </w:rPr>
              <w:t>Tiếp thu. Dự thảo xác định đúng thẩm quyền của Ủy ban nhân dân Thành phố và đã lược bỏ Luật Ban hành văn bản quy phạm pháp luật, Nghị định số 78/2025/NĐ-CP, Nghị định số 187/2025/NĐ-CP khỏi phần căn cứ ban hành Quyết định. Hồ sơ đã cập nhật thống nhất Luật Phát triển đô thị số 18/2026/QH16 và điểm b khoản 2 Điều 26 trong dự thảo Quyết định, Tờ trình, Bản so sánh, thuyết minh và các báo cáo kèm theo.</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Cơ sở pháp lý và thời điểm hoàn thiện hồ sơ</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Sở Quy hoạch - Kiến trúc</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6833/SQHKT-QLKTKG ngày 18/8/2026)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 Về cơ sở pháp lý và thời điểm ban hành: Đề nghị cập nhật đầy đủ nội dung, phạm vi giao quyền của Luật Phát triển đô thị và hệ thống pháp luật có liên quan tại thời điểm trình ban hành.</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Tiếp thu, ghi nhận. Hồ sơ sẽ được rà soát, cập nhật lần cuối theo Luật Phát triển đô thị và các văn bản pháp luật có hiệu lực tại thời điểm trình, bảo đảm đúng phạm vi giao quyền và các dẫn chiếu pháp lý.</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lastRenderedPageBreak/>
              <w:t>Phần căn cứ, công thức ban hành dự thảo Quyết định</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Sở Nông nghiệp và Môi trường</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27935/SNNMT-PC ngày 25/8/2026)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Đề nghị bổ sung nội dung ý kiến thẩm định của Sở Tư pháp tại Báo cáo số… sau phần “Theo đề nghị của Giám đốc Sở Văn hóa và Thể thao tại Tờ trình số…” để bảo đảm Điều 50 Nghị định số 78/2025/NĐ-CP, được sửa đổi, bổ sung.</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Không tiếp thu. Báo cáo thẩm định của Sở Tư pháp là thành phần hồ sơ và được thực hiện theo trình tự thẩm định; không phải thành phần thể thức của Quyết định. Mẫu số 20 Phụ lục III ban hành kèm Nghị định số 187/2025/NĐ-CP quy định công thức “Theo đề nghị của…; Ủy ban nhân dân ban hành Quyết định…”, không có dòng “ý kiến thẩm định của Sở Tư pháp…”. Dự thảo tiếp tục trình bày theo đúng Mẫu số 20.</w:t>
            </w:r>
          </w:p>
        </w:tc>
      </w:tr>
      <w:tr w:rsidR="000C2A14" w:rsidRPr="00D954D9" w:rsidTr="0017174B">
        <w:trPr>
          <w:cantSplit/>
        </w:trPr>
        <w:tc>
          <w:tcPr>
            <w:tcW w:w="2313" w:type="dxa"/>
            <w:tcMar>
              <w:top w:w="80" w:type="dxa"/>
              <w:left w:w="80" w:type="dxa"/>
              <w:bottom w:w="80" w:type="dxa"/>
              <w:right w:w="80" w:type="dxa"/>
            </w:tcMar>
          </w:tcPr>
          <w:p w:rsidR="000C2A14" w:rsidRPr="00D954D9" w:rsidRDefault="00F61A6A" w:rsidP="0017174B">
            <w:pPr>
              <w:spacing w:after="0" w:line="240" w:lineRule="auto"/>
              <w:jc w:val="both"/>
              <w:rPr>
                <w:rFonts w:cs="Times New Roman"/>
                <w:sz w:val="26"/>
                <w:szCs w:val="26"/>
              </w:rPr>
            </w:pPr>
            <w:r>
              <w:rPr>
                <w:rFonts w:cs="Times New Roman" w:ascii="Times New Roman" w:hAnsi="Times New Roman" w:eastAsia="Times New Roman"/>
                <w:b/>
                <w:color w:val="000000"/>
                <w:sz w:val="26"/>
                <w:szCs w:val="26"/>
              </w:rPr>
              <w:lastRenderedPageBreak/>
              <w:t>Về việc</w:t>
            </w:r>
            <w:r w:rsidR="000A5BFF" w:rsidRPr="00D954D9">
              <w:rPr>
                <w:rFonts w:cs="Times New Roman" w:ascii="Times New Roman" w:hAnsi="Times New Roman" w:eastAsia="Times New Roman"/>
                <w:b/>
                <w:color w:val="000000"/>
                <w:sz w:val="26"/>
                <w:szCs w:val="26"/>
              </w:rPr>
              <w:t xml:space="preserve"> ban hành dự thảo Quyết định</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Ủy ban nhân dân phường Long Trường</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1940/UBND-VHXH ngày 18/8/2026)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 xml:space="preserve">1. </w:t>
            </w:r>
            <w:r w:rsidRPr="00D954D9">
              <w:rPr>
                <w:rFonts w:cs="Times New Roman" w:ascii="Times New Roman" w:hAnsi="Times New Roman" w:eastAsia="Times New Roman"/>
                <w:color w:val="000000"/>
                <w:sz w:val="26"/>
                <w:szCs w:val="26"/>
              </w:rPr>
              <w:t>Đề nghị chỉnh câu “Ủy ban nhân dân Thành phố Hồ Chí Minh ban hành Quyết định ban hành Quy định…” thành “Ủy ban nhân dân Thành phố Hồ Chí Minh ban hành Quyết định này.” để tránh lặp từ.</w:t>
            </w:r>
          </w:p>
        </w:tc>
        <w:tc>
          <w:tcPr>
            <w:tcW w:w="2957" w:type="dxa"/>
            <w:tcMar>
              <w:top w:w="80" w:type="dxa"/>
              <w:left w:w="80" w:type="dxa"/>
              <w:bottom w:w="80" w:type="dxa"/>
              <w:right w:w="80" w:type="dxa"/>
            </w:tcMar>
          </w:tcPr>
          <w:p w:rsidR="000C2A14" w:rsidRPr="00D954D9" w:rsidRDefault="000A5BFF" w:rsidP="00F61A6A">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 xml:space="preserve">Không tiếp thu. Mẫu số 20 quy định “Ủy ban nhân dân ban hành Quyết định …(tên gọi của Quyết định)”. Tên gọi của dự thảo là “Quyết định ban hành Quy định…”, nên cách trình bày hiện tại bám đúng cấu trúc mẫu. Không chỉnh thành “ban hành Quyết định này” vì sẽ làm khác </w:t>
            </w:r>
            <w:r w:rsidR="00F61A6A">
              <w:rPr>
                <w:rFonts w:cs="Times New Roman" w:ascii="Times New Roman" w:hAnsi="Times New Roman" w:eastAsia="Times New Roman"/>
                <w:color w:val="000000"/>
                <w:sz w:val="26"/>
                <w:szCs w:val="26"/>
              </w:rPr>
              <w:t>quy định</w:t>
            </w:r>
            <w:r w:rsidRPr="00D954D9">
              <w:rPr>
                <w:rFonts w:cs="Times New Roman" w:ascii="Times New Roman" w:hAnsi="Times New Roman" w:eastAsia="Times New Roman"/>
                <w:color w:val="000000"/>
                <w:sz w:val="26"/>
                <w:szCs w:val="26"/>
              </w:rPr>
              <w:t xml:space="preserve"> của Mẫu số 20.</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Tên Quyết định, tên Quy định và thuật ngữ “cải tạo”/“sửa chữa, cải tạo”</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Ủy ban nhân dân phường Long Trường</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1940/UBND-VHXH ngày 18/8/2026)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 xml:space="preserve">2. </w:t>
            </w:r>
            <w:r w:rsidRPr="00D954D9">
              <w:rPr>
                <w:rFonts w:cs="Times New Roman" w:ascii="Times New Roman" w:hAnsi="Times New Roman" w:eastAsia="Times New Roman"/>
                <w:color w:val="000000"/>
                <w:sz w:val="26"/>
                <w:szCs w:val="26"/>
              </w:rPr>
              <w:t>Đề nghị lựa chọn một cách diễn đạt giữa “cải tạo công trình kiến trúc có giá trị” và “sửa chữa, cải tạo công trình kiến trúc có giá trị” và sử dụng thống nhất toàn văn.</w:t>
            </w:r>
          </w:p>
        </w:tc>
        <w:tc>
          <w:tcPr>
            <w:tcW w:w="2957" w:type="dxa"/>
            <w:tcMar>
              <w:top w:w="80" w:type="dxa"/>
              <w:left w:w="80" w:type="dxa"/>
              <w:bottom w:w="80" w:type="dxa"/>
              <w:right w:w="80" w:type="dxa"/>
            </w:tcMar>
          </w:tcPr>
          <w:p w:rsidR="000C2A14" w:rsidRPr="00D954D9" w:rsidRDefault="000A5BFF" w:rsidP="00595035">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Không tiếp thu</w:t>
            </w:r>
            <w:bookmarkStart w:id="0" w:name="_GoBack"/>
            <w:bookmarkEnd w:id="0"/>
            <w:r w:rsidRPr="00D954D9">
              <w:rPr>
                <w:rFonts w:cs="Times New Roman" w:ascii="Times New Roman" w:hAnsi="Times New Roman" w:eastAsia="Times New Roman"/>
                <w:color w:val="000000"/>
                <w:sz w:val="26"/>
                <w:szCs w:val="26"/>
              </w:rPr>
              <w:t>. Tên Quyết định, tên Quy định và phạm vi điều chỉnh sử dụng cụm “cải tạo công trình kiến trúc có giá trị” để bám đúng nội dung Luật Phát triển đô thị giao; trong các điều khoản cụ thể, cụm “sửa chữa, cải tạo” được sử dụng khi mô tả các loại công việc thuộc pháp luật kiến trúc, xây dựng. Hai cách diễn đạt có phạm vi sử dụng khác nhau và không mâu thuẫn.</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lastRenderedPageBreak/>
              <w:t>Điều 1 của dự thảo Quyết định</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Sở Nông nghiệp và Môi trường</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27935/SNNMT-PC ngày 25/8/2026)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Đề nghị bổ sung tên Điều 1 thành “Điều 1. Ban hành quy định” và bổ sung nội dung tương ứng vào Tờ trình.</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Không tiếp thu. Theo Mẫu số 20 Phụ lục III ban hành kèm Nghị định số 187/2025/NĐ-CP, Điều 1 được trình bày trực tiếp theo công thức “Ban hành kèm theo Quyết định này…”, không quy định tên điều “Ban hành quy định”. Việc bổ sung tên điều theo đề nghị sẽ làm khác mẫu bắt buộc; do đó không bổ sung vào dự thảo Quyết định và Tờ trình.</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Điều 2 của dự thảo Quyết định - Điều khoản chuyển tiếp</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Sở Quy hoạch - Kiến trúc</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6833/SQHKT-QLKTKG ngày 18/8/2026)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 Về điều khoản chuyển tiếp và tổ chức thực hiện: Đề nghị bảo đảm tính liên tục của Danh mục, hồ sơ đánh giá - phân loại, yêu cầu quản lý, văn bản quy hoạch - kiến trúc và hồ sơ sửa chữa, cải tạo đã được phê duyệt/chấp thuận; chuẩn hóa dữ liệu không làm thay đổi hiệu lực văn bản đã ban hành hợp pháp.</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Tiếp thu. Điều 2 đã được điều chỉnh để tiếp tục sử dụng, thực hiện các hồ sơ, Danh mục, quyết định, văn bản đã được phê duyệt, ban hành hoặc chấp thuận hợp pháp; việc chuẩn hóa, cập nhật dữ liệu không làm thay đổi giá trị pháp lý của các văn bản này.</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lastRenderedPageBreak/>
              <w:t>Dòng ghi chú dưới tên Quy định ban hành kèm theo</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Ủy ban nhân dân phường Long Trường</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1940/UBND-VHXH ngày 18/8/2026)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 xml:space="preserve">6. </w:t>
            </w:r>
            <w:r w:rsidRPr="00D954D9">
              <w:rPr>
                <w:rFonts w:cs="Times New Roman" w:ascii="Times New Roman" w:hAnsi="Times New Roman" w:eastAsia="Times New Roman"/>
                <w:color w:val="000000"/>
                <w:sz w:val="26"/>
                <w:szCs w:val="26"/>
              </w:rPr>
              <w:t>Đề nghị bổ sung ngày, tháng, năm vào dòng “(Ban hành kèm theo Quyết định số .../2026/QĐ-UBND)”.</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Không tiếp thu. Mẫu số 20 Phụ lục III ban hành kèm Nghị định số 187/2025/NĐ-CP quy định đúng thể thức: “(Ban hành kèm theo Quyết định số.../20.../QĐ-UBND)”, không thể hiện ngày, tháng, năm tại dòng này. Dự thảo hiện trình bày đúng mẫu.</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lastRenderedPageBreak/>
              <w:t>Phạm vi điều chỉnh và quan hệ với dự thảo Nghị quyết của Hội đồng nhân dân Thành phố về chính sách hỗ trợ</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Ủy ban nhân dân phường Sài Gòn</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3693/UBND-VHXH ngày 25/8/2026)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Ủy ban nhân dân phường Sài Gòn đề nghị rà soát, xác định rõ phạm vi, đối tượng và nội dung điều chỉnh giữa dự thảo Quyết định và dự thảo Nghị quyết về chính sách hỗ trợ tu bổ, tôn tạo di tích, công trình kiến trúc và khu vực đô thị có giá trị lịch sử - văn hóa, bảo đảm thống nhất, tránh chồng chéo.</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Tiếp thu về yêu cầu rà soát, không bổ sung thêm quy phạm vào Quyết định. Dự thảo Quyết định điều chỉnh yêu cầu, điều kiện, hồ sơ quản lý và biện pháp quản lý theo phạm vi Luật Phát triển đô thị giao; không quy định chính sách hỗ trợ, mức hỗ trợ, nguồn kinh phí hoặc danh mục ưu tiên thuộc phạm vi hồ sơ Nghị quyết của Hội đồng nhân dân Thành phố. Nội dung liên quan Danh mục cần tập trung nguồn lực đã được lược bỏ khỏi Quyết định.</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lastRenderedPageBreak/>
              <w:t>Điều 1 và Điều 6 - phạm vi điều chỉnh, nguyên tắc áp dụng pháp luật chuyên ngành</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Sở Tư pháp</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10644/STP-VB ngày 19/8/2026)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b) Về phạm vi điều chỉnh</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Đề nghị chuyển các nội dung tại khoản 3, khoản 4 Điều 1 dự thảo về quan hệ áp dụng đối với khu vực di sản thế giới, vùng đệm và việc không thay thế thẩm quyền, trình tự, thủ tục chuyên ngành sang điều khoản về nguyên tắc.</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Tiếp thu. Điều 1 hiện chỉ quy định phạm vi điều chỉnh và trường hợp loại trừ đối với di tích, di sản được UNESCO công nhận hoặc ghi danh. Các nội dung mang tính nguyên tắc về quan hệ với pháp luật chuyên ngành được chuyển sang Điều 6 “Nguyên tắc áp dụng pháp luật chuyên ngành”. Sau khi tiếp tục rà soát với dự thảo Nghị quyết của Hội đồng nhân dân Thành phố về trình tự, thủ tục bảo quản, tu bổ, phục hồi di tích quốc gia, di tích quốc gia đặc biệt, khoản 3 Điều 6 được bổ sung, làm rõ: việc đề nghị và cho ý kiến chuyên ngành, lấy ý kiến, tham vấn, thẩm tra, thẩm định, trình phê duyệt, phê duyệt, chấp thuận, công bố, điều chỉnh, trình tự, thủ tục và thành phần hồ sơ tương ứng thực hiện theo Nghị quyết và pháp luật chuyên ngành; Quyết định không tạo thêm lớp thủ tục hoặc nghĩa vụ thực hiện lại nội dung đã được thực hiện hợp pháp.</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Điều 3 - Đối tượng quản lý</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Sở Tư pháp</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10644/STP-VB ngày 19/8/2026)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c) Về đối tượng quản lý</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Đề nghị rà soát nội dung liên quan Danh mục di sản, khu vực có giá trị văn hóa, lịch sử, công trình kiến trúc, công trình khác có giá trị cần tập trung nguồn lực; nội dung này phù hợp hơn với hồ sơ Nghị quyết riêng của Hội đồng nhân dân Thành phố.</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Tiếp thu. Điều 3 đã lược bỏ các khoản liên quan Danh mục cần tập trung nguồn lực. Dự thảo hiện chỉ xác định 02 nhóm đối tượng quản lý: di tích đã được xếp hạng, di tích thuộc Danh mục kiểm kê di tích; và công trình kiến trúc có giá trị đã được đánh giá, phân loại, đưa vào danh mục được phê duyệt theo pháp luật về kiến trúc.</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lastRenderedPageBreak/>
              <w:t>Điều 4, Điều 35 và Điều 37 - giải thích từ ngữ và kỹ thuật trình bày</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Sở Tư pháp</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10644/STP-VB ngày 19/8/2026)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e) Về thể thức và kỹ thuật trình bày</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 xml:space="preserve">Đề nghị giải thích cụm từ </w:t>
            </w:r>
            <w:r w:rsidRPr="00D954D9">
              <w:rPr>
                <w:rFonts w:cs="Times New Roman" w:ascii="Times New Roman" w:hAnsi="Times New Roman" w:eastAsia="Times New Roman"/>
                <w:i/>
                <w:color w:val="000000"/>
                <w:sz w:val="26"/>
                <w:szCs w:val="26"/>
              </w:rPr>
              <w:t>“cấu kiện”</w:t>
            </w:r>
            <w:r w:rsidRPr="00D954D9">
              <w:rPr>
                <w:rFonts w:cs="Times New Roman" w:ascii="Times New Roman" w:hAnsi="Times New Roman" w:eastAsia="Times New Roman"/>
                <w:color w:val="000000"/>
                <w:sz w:val="26"/>
                <w:szCs w:val="26"/>
              </w:rPr>
              <w:t>; đổi tên Điều 35 thành “Trách nhiệm của các sở, ban, ngành”; làm rõ đối tượng chủ sở hữu và lĩnh vực của cá nhân hành nghề tại Điều 37.</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Tiếp thu. Điều 4 đã bổ sung giải thích “cấu kiện”; Điều 35 đã đổi tên thành “Trách nhiệm của các sở, ban, ngành”; Điều 37 đã xác định rõ chủ sở hữu, người sử dụng, tổ chức trực tiếp quản lý di tích, công trình kiến trúc có giá trị và cá nhân hành nghề trong các lĩnh vực kiến trúc, xây dựng, bảo quản, tu bổ, phục hồi di tích.</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Điều 8, Điều 32 và Điều 34 - hồ sơ quản lý, cơ sở dữ liệu và trách nhiệm cập nhật</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Sở Quy hoạch - Kiến trúc</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6833/SQHKT-QLKTKG ngày 18/8/2026)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 Về hồ sơ quản lý, cơ sở dữ liệu và trách nhiệm cập nhật: Đề nghị giới hạn trách nhiệm của Sở Quy hoạch - Kiến trúc trong phạm vi dữ liệu chuyên ngành kiến trúc; dữ liệu về an toàn, bảo trì, sự cố, PCCC, sở hữu, đất đai, hệ thống kỹ thuật, hồ sơ hoàn công do cơ quan, chủ thể chuyên ngành tạo lập và chịu trách nhiệm.</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Tiếp thu. Dự thảo đã giới hạn Sở Quy hoạch - Kiến trúc chỉ chủ trì chuẩn hóa, quản lý dữ liệu thuộc phạm vi quản lý nhà nước về kiến trúc; dữ liệu thuộc lĩnh vực khác do cơ quan, tổ chức, cá nhân có trách nhiệm theo pháp luật tạo lập và chịu trách nhiệm về tính chính xác, được kết nối, chia sẻ theo quy định.</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lastRenderedPageBreak/>
              <w:t>Điều 8 và Điều 37 - đề xuất hỗ trợ chuyên gia, kinh phí</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Ban Thường trực Ủy ban Mặt trận Tổ quốc Việt Nam Thành phố</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1978/MTTQ-BTT ngày 21/8/2026)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 xml:space="preserve">1. </w:t>
            </w:r>
            <w:r w:rsidRPr="00D954D9">
              <w:rPr>
                <w:rFonts w:cs="Times New Roman" w:ascii="Times New Roman" w:hAnsi="Times New Roman" w:eastAsia="Times New Roman"/>
                <w:color w:val="000000"/>
                <w:sz w:val="26"/>
                <w:szCs w:val="26"/>
              </w:rPr>
              <w:t xml:space="preserve">Đề nghị xây dựng hoặc bổ sung quy định hỗ trợ chuyên gia hướng dẫn, kinh phí đo vẽ, khảo sát hiện trạng cho hộ gia đình khó khăn đang trực tiếp sinh sống, quản lý di tích hoặc công trình kiến trúc có giá trị thuộc sở hữu riêng. </w:t>
            </w:r>
            <w:r w:rsidRPr="00D954D9">
              <w:rPr>
                <w:rFonts w:cs="Times New Roman" w:ascii="Times New Roman" w:hAnsi="Times New Roman" w:eastAsia="Times New Roman"/>
                <w:i/>
                <w:color w:val="000000"/>
                <w:sz w:val="26"/>
                <w:szCs w:val="26"/>
              </w:rPr>
              <w:t>(tại Điều 8 và Điều 37 của dự thảo Quy định)</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Không tiếp thu vào dự thảo Quyết định. Nội dung hỗ trợ chuyên gia, kinh phí là chính sách hỗ trợ, liên quan nguồn ngân sách, đối tượng và mức hỗ trợ; không thuộc phạm vi nội dung Quyết định này được giao quy định về yêu cầu, điều kiện, hồ sơ quản lý và biện pháp quản lý. Nội dung này có thể được nghiên cứu trong hồ sơ chính sách hỗ trợ riêng khi có đủ căn cứ pháp lý và nguồn lực.</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Khoản 4 Điều 8 - trách nhiệm cập nhật hồ sơ, dữ liệu của Ủy ban nhân dân cấp xã</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Ủy ban nhân dân phường Vĩnh Tân</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1643/UBND-VHXH ngày 20/8/2026)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1. Về trách nhiệm cập nhật hồ sơ, dữ liệu của Ủy ban nhân dân cấp xã</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Đề nghị làm rõ cấp xã trực tiếp cập nhật dữ liệu vào hệ thống hay chỉ thu thập, cung cấp thông tin; xác định cơ chế phân quyền dữ liệu.</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Tiếp thu. Khoản 4 Điều 8 đã làm rõ Ủy ban nhân dân cấp xã và các chủ thể có trách nhiệm phối hợp thu thập, cung cấp thông tin, tài liệu; việc trực tiếp cập nhật dữ liệu trên hệ thống chỉ thực hiện khi được cơ quan quản lý chuyên ngành phân quyền; khai thác, sử dụng hồ sơ theo quyền truy cập được giao.</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lastRenderedPageBreak/>
              <w:t>Chương III và Chương IV - các biện pháp bảo vệ, bảo quản, tu bổ, phục hồi di tích và cải tạo công trình kiến trúc có giá trị</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Sở Tư pháp</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10644/STP-VB ngày 19/8/2026)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d) Nội dung khác</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 xml:space="preserve">Sở Tư pháp đề nghị bổ sung nội dung thực chất về </w:t>
            </w:r>
            <w:r w:rsidRPr="00D954D9">
              <w:rPr>
                <w:rFonts w:cs="Times New Roman" w:ascii="Times New Roman" w:hAnsi="Times New Roman" w:eastAsia="Times New Roman"/>
                <w:b/>
                <w:color w:val="000000"/>
                <w:sz w:val="26"/>
                <w:szCs w:val="26"/>
              </w:rPr>
              <w:t>biện pháp</w:t>
            </w:r>
            <w:r w:rsidRPr="00D954D9">
              <w:rPr>
                <w:rFonts w:cs="Times New Roman" w:ascii="Times New Roman" w:hAnsi="Times New Roman" w:eastAsia="Times New Roman"/>
                <w:color w:val="000000"/>
                <w:sz w:val="26"/>
                <w:szCs w:val="26"/>
              </w:rPr>
              <w:t xml:space="preserve"> bảo vệ, bảo quản, tu bổ, phục hồi di tích, cải tạo công trình kiến trúc có giá trị để bảo đảm đầy đủ phạm vi được giao.</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Tiếp thu. Chương III và Chương IV đã được điều chỉnh để thể hiện rõ các biện pháp tương ứng; đồng thời dẫn chiếu pháp luật chuyên ngành, hồ sơ được phê duyệt và không tạo thêm loại hoạt động, thủ tục hoặc điều kiện mới. Đối với Chương III, nội dung tiếp tục được giới hạn ở yêu cầu, điều kiện quản lý và biện pháp; riêng di tích quốc gia, di tích quốc gia đặc biệt, các quy trình và hồ sơ chuyên ngành, kể cả ý kiến chuyên ngành, tham vấn, thẩm tra, thẩm định, phê duyệt, công bố và điều chỉnh, thực hiện theo Nghị quyết của Hội đồng nhân dân Thành phố và pháp luật chuyên ngành.</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Điều 18, Điều 28 và Điều 36 - phối hợp xử lý trường hợp có nguy cơ mất an toàn</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Ban Thường trực Ủy ban Mặt trận Tổ quốc Việt Nam Thành phố</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1978/MTTQ-BTT ngày 21/8/2026)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 xml:space="preserve">2. </w:t>
            </w:r>
            <w:r w:rsidRPr="00D954D9">
              <w:rPr>
                <w:rFonts w:cs="Times New Roman" w:ascii="Times New Roman" w:hAnsi="Times New Roman" w:eastAsia="Times New Roman"/>
                <w:color w:val="000000"/>
                <w:sz w:val="26"/>
                <w:szCs w:val="26"/>
              </w:rPr>
              <w:t xml:space="preserve">Đề nghị quy định thời gian phối hợp của các đơn vị có liên quan xuống hiện trường hướng dẫn biện pháp chống đỡ tạm thời khi công trình di sản có nguy cơ đổ sập. </w:t>
            </w:r>
            <w:r w:rsidRPr="00D954D9">
              <w:rPr>
                <w:rFonts w:cs="Times New Roman" w:ascii="Times New Roman" w:hAnsi="Times New Roman" w:eastAsia="Times New Roman"/>
                <w:i/>
                <w:color w:val="000000"/>
                <w:sz w:val="26"/>
                <w:szCs w:val="26"/>
              </w:rPr>
              <w:t>(tại Điều 18 và Điều 28 của dự thảo Quy định)</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Tiếp thu mục tiêu xử lý kịp thời nhưng không tiếp thu việc ấn định thêm thời hạn phối hợp riêng trong Quyết định. Điều 18, Điều 28 và Điều 36 quy định trách nhiệm bảo đảm an toàn, bảo vệ hiện trường, thông báo và báo cáo cơ quan chuyên ngành; việc xử lý sự cố, công trình mất an toàn tiếp tục thực hiện theo pháp luật chuyên ngành. Đối với di tích quốc gia, di tích quốc gia đặc biệt, Điều 18 dẫn chiếu hồ sơ, trình tự, thủ tục lấy ý kiến và phê duyệt Báo cáo kinh tế - kỹ thuật tu sửa cấp thiết di tích theo Nghị quyết của Hội đồng nhân dân Thành phố; Quyết định chỉ giữ các biện pháp an toàn, bảo vệ hiện trường và cập nhật hồ sơ quản lý.</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lastRenderedPageBreak/>
              <w:t>Khoản 4 Điều 18 - dẫn chiếu cập nhật hồ sơ quản lý</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Ủy ban nhân dân phường Vĩnh Tân</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1643/UBND-VHXH ngày 20/8/2026)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3. Về dẫn chiếu tại khoản 3 Điều 18 dự thảo Quy định</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Đề nghị rà soát việc dẫn chiếu cập nhật tài liệu tu sửa cấp thiết theo Điều 21 vì Điều 21 chủ yếu quy định quản lý cấu kiện, vật liệu; xem xét dẫn chiếu Chương II hoặc điều trực tiếp về hồ sơ quản lý.</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Tiếp thu. Nội dung hiện được chỉnh tại khoản 4 Điều 18: tài liệu phát sinh trong quá trình tu sửa cấp thiết được cập nhật vào hồ sơ quản lý theo Chương II; trường hợp liên quan đến cấu kiện, vật liệu thì đồng thời thực hiện theo Điều 21 Quy định này.</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lastRenderedPageBreak/>
              <w:t>Chương IV - quan hệ với Quy chế quản lý kiến trúc</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Sở Quy hoạch - Kiến trúc</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6833/SQHKT-QLKTKG ngày 18/8/2026)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Đề nghị lựa chọn: hoặc thu hẹp Chương IV và dẫn chiếu Quy chế quản lý kiến trúc; hoặc nếu tiếp tục giữ Chương IV thì xác định rõ quan hệ áp dụng, bảo đảm không tạo cơ chế thẩm định, chấp thuận kiến trúc riêng.</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Tiếp thu có chọn lọc theo phương án giữ Chương IV. Dự thảo vẫn quy định khung biện pháp bảo vệ, cải tạo để đáp ứng phạm vi Luật giao; Điều 23 đã xác định căn cứ từ quy hoạch, quy chế quản lý kiến trúc, thiết kế đô thị, yêu cầu quản lý kèm danh mục, hồ sơ đánh giá, phân loại; đồng thời khẳng định không làm phát sinh thủ tục thẩm định, chấp thuận hoặc cấp phép riêng. Sau khi đối chiếu dự thảo Quy chế quản lý kiến trúc đô thị của Sở Quy hoạch - Kiến trúc, khoản 6 Điều 23 được bổ sung để giao các chỉ tiêu, yêu cầu kiến trúc cụ thể thực hiện theo các công cụ chuyên ngành.</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lastRenderedPageBreak/>
              <w:t>Điều 23 - Căn cứ và điều kiện sửa chữa, cải tạo công trình kiến trúc có giá trị</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Sở Quy hoạch - Kiến trúc</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6833/SQHKT-QLKTKG ngày 18/8/2026)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 Về Chương IV: Đề nghị khoản 1 Điều 23 xác định rõ các nguồn căn cứ gồm quy hoạch, Quy chế quản lý kiến trúc, thiết kế đô thị, yêu cầu quản lý kèm Danh mục, hồ sơ đánh giá, phân loại và pháp luật có liên quan.</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Tiếp thu. Khoản 1 Điều 23 đã xác định đầy đủ các nguồn căn cứ nêu trên. Dự thảo không tự đặt thứ tự ưu tiên giữa các công cụ quản lý có bản chất pháp lý khác nhau.</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Khoản 3 Điều 26 - Biện pháp bảo vệ cảnh quan và công trình lân cận</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Ủy ban nhân dân phường Long Trường</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1940/UBND-VHXH ngày 18/8/2026)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 xml:space="preserve">5. </w:t>
            </w:r>
            <w:r w:rsidRPr="00D954D9">
              <w:rPr>
                <w:rFonts w:cs="Times New Roman" w:ascii="Times New Roman" w:hAnsi="Times New Roman" w:eastAsia="Times New Roman"/>
                <w:color w:val="000000"/>
                <w:sz w:val="26"/>
                <w:szCs w:val="26"/>
              </w:rPr>
              <w:t>Đề nghị sửa cụm “tuân thủ pháp luật về xây dựng về bảo đảm an toàn” thành “tuân thủ quy định của pháp luật về xây dựng trong việc bảo đảm an toàn”.</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Tiếp thu. Khoản 3 Điều 26 đã được chỉnh thành: “Hoạt động xây dựng công trình lân cận phải tuân thủ quy định của pháp luật về xây dựng trong việc bảo đảm an toàn cho công trình hiện hữu.”</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lastRenderedPageBreak/>
              <w:t>Điều 27 - Phá dỡ công trình kiến trúc có giá trị</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Sở Quy hoạch - Kiến trúc</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6833/SQHKT-QLKTKG ngày 18/8/2026)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Đề nghị việc phá dỡ toàn bộ hoặc một phần chỉ thực hiện khi đáp ứng đầy đủ điều kiện, thẩm quyền, thủ tục; trước khi thực hiện phải ghi nhận, lưu trữ hiện trạng và xử lý cấu kiện, vật liệu có giá trị theo phương án được chấp thuận.</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Tiếp thu có điều chỉnh. Điều 27 đã quy định phá dỡ chỉ được thực hiện khi thuộc trường hợp được phép và đáp ứng điều kiện, thẩm quyền, trình tự, thủ tục theo pháp luật; yêu cầu ghi nhận, lưu trữ hiện trạng. Việc xử lý cấu kiện, vật liệu thực hiện theo hồ sơ, phương án đã được cơ quan có thẩm quyền phê duyệt hoặc chấp thuận theo pháp luật, nếu pháp luật có yêu cầu, để không tạo thêm thủ tục chấp thuận mới.</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lastRenderedPageBreak/>
              <w:t>Sự thống nhất giữa dự thảo Quyết định, Tờ trình và Bản so sánh, thuyết minh</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Ủy ban nhân dân phường Vĩnh Tân</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1643/UBND-VHXH ngày 20/8/2026)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4. Về sự thống nhất giữa dự thảo Quyết định, Tờ trình và Bản so sánh, thuyết minh</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Đề nghị thống nhất tên Điều 28 và tên Chương V giữa các thành phần hồ sơ.</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Tiếp thu. Hồ sơ được rà soát để thống nhất theo dự thảo Quyết định: Điều 28 “Xử lý công trình kiến trúc có giá trị có dấu hiệu xuống cấp hoặc xảy ra sự cố”; Chương V “Quản lý thi công, hồ sơ hoàn thành, dữ liệu và phát huy giá trị”. Bản so sánh, thuyết minh và Tờ trình được chỉnh đồng bộ trước khi trình thẩm định.</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Kỹ thuật trình bày - tên Danh mục và dấu gạch nối</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Ủy ban nhân dân phường Long Trường</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1940/UBND-VHXH ngày 18/8/2026)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 xml:space="preserve">3. </w:t>
            </w:r>
            <w:r w:rsidRPr="00D954D9">
              <w:rPr>
                <w:rFonts w:cs="Times New Roman" w:ascii="Times New Roman" w:hAnsi="Times New Roman" w:eastAsia="Times New Roman"/>
                <w:color w:val="000000"/>
                <w:sz w:val="26"/>
                <w:szCs w:val="26"/>
              </w:rPr>
              <w:t>Đề nghị thống nhất cách viết “Danh mục kiểm kê di tích”, cách viết hoa/viết thường các danh mục.</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 xml:space="preserve">4. </w:t>
            </w:r>
            <w:r w:rsidRPr="00D954D9">
              <w:rPr>
                <w:rFonts w:cs="Times New Roman" w:ascii="Times New Roman" w:hAnsi="Times New Roman" w:eastAsia="Times New Roman"/>
                <w:color w:val="000000"/>
                <w:sz w:val="26"/>
                <w:szCs w:val="26"/>
              </w:rPr>
              <w:t>Đề nghị thống nhất dấu gạch nối có khoảng trắng hai bên trong tên “Sở Quy hoạch - Kiến trúc”.</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Tiếp thu về kỹ thuật trình bày. Khoản 2 Điều 33 đã thống nhất thành “Danh mục kiểm kê di tích”; các cụm danh mục mang nghĩa chung được rà soát viết thường phù hợp ngữ cảnh; toàn văn thống nhất cách trình bày “Sở Quy hoạch - Kiến trúc”. Nội dung về Danh mục cần tập trung nguồn lực không còn trong dự thảo sau khi tiếp thu ý kiến Sở Tư pháp.</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lastRenderedPageBreak/>
              <w:t>Điều 34 - Trách nhiệm của Sở Quy hoạch - Kiến trúc</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Sở Quy hoạch - Kiến trúc</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6833/SQHKT-QLKTKG ngày 18/8/2026)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 Về trách nhiệm của Sở Quy hoạch - Kiến trúc tại Điều 34: Đề nghị giới hạn trách nhiệm trong phạm vi quản lý nhà nước về kiến trúc; sửa nội dung về cập nhật yêu cầu bảo vệ trong quy hoạch và chỉ giao quản lý, chuẩn hóa dữ liệu chuyên ngành kiến trúc.</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Tiếp thu. Điều 34 đã được chỉnh đúng phạm vi quản lý nhà nước về kiến trúc; khoản 2 quy định rà soát, đề xuất cập nhật yêu cầu bảo vệ trong quá trình lập, điều chỉnh quy hoạch, quy chế quản lý kiến trúc, thiết kế đô thị theo thẩm quyền; khoản 3 chỉ giao quản lý, chuẩn hóa dữ liệu chuyên ngành kiến trúc.</w:t>
            </w:r>
          </w:p>
        </w:tc>
      </w:tr>
      <w:tr w:rsidR="000C2A14" w:rsidRPr="00D954D9" w:rsidTr="0017174B">
        <w:trPr>
          <w:cantSplit/>
        </w:trPr>
        <w:tc>
          <w:tcPr>
            <w:tcW w:w="2313"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lastRenderedPageBreak/>
              <w:t>Khoản 2 Điều 36 - cơ quan chuyên ngành đầu mối tiếp nhận thông tin</w:t>
            </w:r>
          </w:p>
        </w:tc>
        <w:tc>
          <w:tcPr>
            <w:tcW w:w="3674" w:type="dxa"/>
            <w:tcMar>
              <w:top w:w="80" w:type="dxa"/>
              <w:left w:w="80" w:type="dxa"/>
              <w:bottom w:w="80" w:type="dxa"/>
              <w:right w:w="80" w:type="dxa"/>
            </w:tcMar>
          </w:tcPr>
          <w:p w:rsidR="0017174B"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Ủy ban nhân dân phường Vĩnh Tân</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(Công văn số 1643/UBND-VHXH ngày 20/8/2026)</w:t>
            </w:r>
          </w:p>
        </w:tc>
        <w:tc>
          <w:tcPr>
            <w:tcW w:w="5085"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b/>
                <w:color w:val="000000"/>
                <w:sz w:val="26"/>
                <w:szCs w:val="26"/>
              </w:rPr>
              <w:t>2. Đề nghị làm rõ cơ chế tiếp nhận và xử lý thông tin về công trình xuống cấp, mất an toàn</w:t>
            </w:r>
          </w:p>
          <w:p w:rsidR="005807F3" w:rsidRPr="00D954D9" w:rsidRDefault="00ED2EE3">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Đề nghị xác định rõ đầu mối theo từng nhóm: di tích; công trình kiến trúc có giá trị; trường hợp mất an toàn kết cấu, đồng thời nghiên cứu phương thức báo cáo đối với trường hợp cần xử lý khẩn cấp.</w:t>
            </w:r>
          </w:p>
        </w:tc>
        <w:tc>
          <w:tcPr>
            <w:tcW w:w="2957" w:type="dxa"/>
            <w:tcMar>
              <w:top w:w="80" w:type="dxa"/>
              <w:left w:w="80" w:type="dxa"/>
              <w:bottom w:w="80" w:type="dxa"/>
              <w:right w:w="80" w:type="dxa"/>
            </w:tcMar>
          </w:tcPr>
          <w:p w:rsidR="000C2A14" w:rsidRPr="00D954D9" w:rsidRDefault="000A5BFF" w:rsidP="0017174B">
            <w:pPr>
              <w:spacing w:after="0" w:line="240" w:lineRule="auto"/>
              <w:jc w:val="both"/>
              <w:rPr>
                <w:rFonts w:cs="Times New Roman"/>
                <w:sz w:val="26"/>
                <w:szCs w:val="26"/>
              </w:rPr>
            </w:pPr>
            <w:r w:rsidRPr="00D954D9">
              <w:rPr>
                <w:rFonts w:cs="Times New Roman" w:ascii="Times New Roman" w:hAnsi="Times New Roman" w:eastAsia="Times New Roman"/>
                <w:color w:val="000000"/>
                <w:sz w:val="26"/>
                <w:szCs w:val="26"/>
              </w:rPr>
              <w:t>Tiếp thu một phần. Khoản 2 Điều 36 đã xác định rõ Sở Văn hóa và Thể thao đối với di tích; Sở Quy hoạch - Kiến trúc đối với nội dung thuộc quản lý nhà nước về kiến trúc của công trình kiến trúc có giá trị; Sở Xây dựng đối với an toàn, chất lượng, sự cố công trình. Không quy định thêm phương thức hoặc chế độ báo cáo khẩn cấp riêng; việc báo cáo, xử lý thực hiện theo pháp luật chuyên ngành và cơ chế điều hành hiện hành.</w:t>
            </w:r>
          </w:p>
        </w:tc>
      </w:tr>
      <w:tr>
        <w:tc>
          <w:tcPr>
            <w:tcW w:w="14029" w:type="dxa"/>
            <w:gridSpan w:val="4"/>
            <w:shd w:val="clear" w:color="auto" w:fill="E2F0D9"/>
            <w:tcMar>
              <w:top w:w="80" w:type="dxa"/>
              <w:left w:w="80" w:type="dxa"/>
              <w:bottom w:w="80" w:type="dxa"/>
              <w:right w:w="80" w:type="dxa"/>
            </w:tcMar>
            <w:vAlign w:val="center"/>
          </w:tcPr>
          <w:p>
            <w:pPr>
              <w:spacing w:after="0"/>
            </w:pPr>
            <w:r>
              <w:rPr>
                <w:color w:val="000000"/>
              </w:rPr>
            </w:r>
            <w:r>
              <w:rPr>
                <w:rFonts w:ascii="Times New Roman" w:hAnsi="Times New Roman" w:eastAsia="Times New Roman"/>
                <w:b/>
                <w:color w:val="000000"/>
                <w:sz w:val="22"/>
              </w:rPr>
              <w:t>III. Ý kiến tham vấn chính sách và nội dung tiếp thu, giải trình</w:t>
            </w:r>
          </w:p>
        </w:tc>
        <w:tc>
          <w:tcPr>
            <w:tcW w:w="14029" w:type="dxa"/>
            <w:gridSpan w:val="4"/>
            <w:shd w:val="clear" w:color="auto" w:fill="D9EAF7"/>
            <w:tcMar>
              <w:top w:w="80" w:type="dxa"/>
              <w:left w:w="80" w:type="dxa"/>
              <w:bottom w:w="80" w:type="dxa"/>
              <w:right w:w="80" w:type="dxa"/>
            </w:tcMar>
          </w:tcPr>
          <w:p>
            <w:pPr>
              <w:spacing w:after="0"/>
            </w:pPr>
          </w:p>
        </w:tc>
        <w:tc>
          <w:tcPr>
            <w:tcW w:w="14029" w:type="dxa"/>
            <w:gridSpan w:val="4"/>
            <w:shd w:val="clear" w:color="auto" w:fill="D9EAF7"/>
            <w:tcMar>
              <w:top w:w="80" w:type="dxa"/>
              <w:left w:w="80" w:type="dxa"/>
              <w:bottom w:w="80" w:type="dxa"/>
              <w:right w:w="80" w:type="dxa"/>
            </w:tcMar>
          </w:tcPr>
          <w:p>
            <w:pPr>
              <w:spacing w:after="0"/>
            </w:pPr>
          </w:p>
        </w:tc>
        <w:tc>
          <w:tcPr>
            <w:tcW w:w="14029" w:type="dxa"/>
            <w:gridSpan w:val="4"/>
            <w:shd w:val="clear" w:color="auto" w:fill="D9EAF7"/>
            <w:tcMar>
              <w:top w:w="80" w:type="dxa"/>
              <w:left w:w="80" w:type="dxa"/>
              <w:bottom w:w="80" w:type="dxa"/>
              <w:right w:w="80" w:type="dxa"/>
            </w:tcMar>
          </w:tcPr>
          <w:p>
            <w:pPr>
              <w:spacing w:after="0"/>
            </w:pPr>
          </w:p>
        </w:tc>
      </w:tr>
      <w:tr>
        <w:trPr>
          <w:cantSplit/>
        </w:trPr>
        <w:tc>
          <w:tcPr>
            <w:tcW w:w="2313" w:type="dxa"/>
            <w:tcMar>
              <w:top w:w="80" w:type="dxa"/>
              <w:left w:w="80" w:type="dxa"/>
              <w:bottom w:w="80" w:type="dxa"/>
              <w:right w:w="80" w:type="dxa"/>
            </w:tcMar>
            <w:vAlign w:val="center"/>
          </w:tcPr>
          <w:p>
            <w:pPr>
              <w:spacing w:after="0"/>
              <w:ind w:firstLine="0"/>
              <w:jc w:val="both"/>
            </w:pPr>
            <w:r>
              <w:rPr>
                <w:rFonts w:ascii="Times New Roman" w:hAnsi="Times New Roman" w:eastAsia="Times New Roman"/>
                <w:b w:val="0"/>
                <w:color w:val="000000"/>
                <w:sz w:val="20"/>
              </w:rPr>
              <w:t>Tham vấn chính sách về phạm vi, nội dung quản lý di tích và quan hệ với pháp luật chuyên ngành về di sản văn hóa</w:t>
            </w:r>
          </w:p>
        </w:tc>
        <w:tc>
          <w:tcPr>
            <w:tcW w:w="3674" w:type="dxa"/>
            <w:tcMar>
              <w:top w:w="80" w:type="dxa"/>
              <w:left w:w="80" w:type="dxa"/>
              <w:bottom w:w="80" w:type="dxa"/>
              <w:right w:w="80" w:type="dxa"/>
            </w:tcMar>
            <w:vAlign w:val="center"/>
          </w:tcPr>
          <w:p>
            <w:pPr>
              <w:spacing w:after="0"/>
              <w:ind w:firstLine="0"/>
              <w:jc w:val="both"/>
            </w:pPr>
            <w:r>
              <w:rPr>
                <w:rFonts w:ascii="Times New Roman" w:hAnsi="Times New Roman" w:eastAsia="Times New Roman"/>
                <w:b w:val="0"/>
                <w:color w:val="000000"/>
                <w:sz w:val="20"/>
              </w:rPr>
              <w:t>Bộ Văn hóa, Thể thao và Du lịch</w:t>
            </w:r>
          </w:p>
        </w:tc>
        <w:tc>
          <w:tcPr>
            <w:tcW w:w="5085" w:type="dxa"/>
            <w:tcMar>
              <w:top w:w="80" w:type="dxa"/>
              <w:left w:w="80" w:type="dxa"/>
              <w:bottom w:w="80" w:type="dxa"/>
              <w:right w:w="80" w:type="dxa"/>
            </w:tcMar>
            <w:vAlign w:val="center"/>
          </w:tcPr>
          <w:p>
            <w:r>
              <w:rPr>
                <w:rFonts w:ascii="Times New Roman" w:hAnsi="Times New Roman" w:eastAsia="Times New Roman"/>
                <w:color w:val="000000"/>
              </w:rPr>
            </w:r>
            <w:r>
              <w:rPr>
                <w:rFonts w:ascii="Times New Roman" w:hAnsi="Times New Roman" w:eastAsia="Times New Roman"/>
                <w:b w:val="0"/>
                <w:color w:val="000000"/>
                <w:sz w:val="28"/>
              </w:rPr>
              <w:t>Ngày 07 tháng 9 năm 2026, Sở Văn hóa và Thể thao ban hành Công văn số 12488/SVHTT-DSVH tham vấn chính sách đối với hồ sơ dự thảo Quyết định. Theo tài liệu hiện có tại thời điểm hoàn thiện hồ sơ thẩm định, chưa có văn bản phản hồi của Bộ.</w:t>
            </w:r>
          </w:p>
        </w:tc>
        <w:tc>
          <w:tcPr>
            <w:tcW w:w="2957" w:type="dxa"/>
            <w:tcMar>
              <w:top w:w="80" w:type="dxa"/>
              <w:left w:w="80" w:type="dxa"/>
              <w:bottom w:w="80" w:type="dxa"/>
              <w:right w:w="80" w:type="dxa"/>
            </w:tcMar>
            <w:vAlign w:val="center"/>
          </w:tcPr>
          <w:p>
            <w:r>
              <w:rPr>
                <w:rFonts w:ascii="Times New Roman" w:hAnsi="Times New Roman" w:eastAsia="Times New Roman"/>
                <w:color w:val="000000"/>
              </w:rPr>
            </w:r>
            <w:r>
              <w:rPr>
                <w:rFonts w:ascii="Times New Roman" w:hAnsi="Times New Roman" w:eastAsia="Times New Roman"/>
                <w:b w:val="0"/>
                <w:color w:val="000000"/>
                <w:sz w:val="28"/>
              </w:rPr>
              <w:t>Sở tiếp tục theo dõi; trường hợp nhận được ý kiến trong quá trình thẩm định hoặc trước khi trình Ủy ban nhân dân Thành phố, sẽ kịp thời nghiên cứu, tiếp thu, giải trình và cập nhật hồ sơ.</w:t>
            </w:r>
          </w:p>
        </w:tc>
      </w:tr>
      <w:tr>
        <w:trPr>
          <w:cantSplit/>
        </w:trPr>
        <w:tc>
          <w:tcPr>
            <w:tcW w:w="2313" w:type="dxa"/>
            <w:tcMar>
              <w:top w:w="80" w:type="dxa"/>
              <w:left w:w="80" w:type="dxa"/>
              <w:bottom w:w="80" w:type="dxa"/>
              <w:right w:w="80" w:type="dxa"/>
            </w:tcMar>
            <w:vAlign w:val="center"/>
          </w:tcPr>
          <w:p>
            <w:pPr>
              <w:spacing w:after="0"/>
              <w:ind w:firstLine="0"/>
              <w:jc w:val="both"/>
            </w:pPr>
            <w:r>
              <w:rPr>
                <w:rFonts w:ascii="Times New Roman" w:hAnsi="Times New Roman" w:eastAsia="Times New Roman"/>
                <w:b w:val="0"/>
                <w:color w:val="000000"/>
                <w:sz w:val="20"/>
              </w:rPr>
              <w:t>Tham vấn chính sách về công trình kiến trúc có giá trị, pháp luật kiến trúc, xây dựng và các nội dung có liên quan</w:t>
            </w:r>
          </w:p>
        </w:tc>
        <w:tc>
          <w:tcPr>
            <w:tcW w:w="3674" w:type="dxa"/>
            <w:tcMar>
              <w:top w:w="80" w:type="dxa"/>
              <w:left w:w="80" w:type="dxa"/>
              <w:bottom w:w="80" w:type="dxa"/>
              <w:right w:w="80" w:type="dxa"/>
            </w:tcMar>
            <w:vAlign w:val="center"/>
          </w:tcPr>
          <w:p>
            <w:pPr>
              <w:spacing w:after="0"/>
              <w:ind w:firstLine="0"/>
              <w:jc w:val="both"/>
            </w:pPr>
            <w:r>
              <w:rPr>
                <w:rFonts w:ascii="Times New Roman" w:hAnsi="Times New Roman" w:eastAsia="Times New Roman"/>
                <w:b w:val="0"/>
                <w:color w:val="000000"/>
                <w:sz w:val="20"/>
              </w:rPr>
              <w:t>Bộ Xây dựng</w:t>
            </w:r>
          </w:p>
        </w:tc>
        <w:tc>
          <w:tcPr>
            <w:tcW w:w="5085" w:type="dxa"/>
            <w:tcMar>
              <w:top w:w="80" w:type="dxa"/>
              <w:left w:w="80" w:type="dxa"/>
              <w:bottom w:w="80" w:type="dxa"/>
              <w:right w:w="80" w:type="dxa"/>
            </w:tcMar>
            <w:vAlign w:val="center"/>
          </w:tcPr>
          <w:p>
            <w:pPr>
              <w:spacing w:after="0"/>
            </w:pPr>
            <w:r>
              <w:rPr>
                <w:color w:val="000000"/>
              </w:rPr>
            </w:r>
            <w:r>
              <w:rPr>
                <w:rFonts w:ascii="Times New Roman" w:hAnsi="Times New Roman" w:eastAsia="Times New Roman"/>
                <w:b w:val="0"/>
                <w:color w:val="000000"/>
                <w:sz w:val="22"/>
              </w:rPr>
              <w:t>Ngày 07 tháng 9 năm 2026, Sở Văn hóa và Thể thao ban hành Công văn số 12489/SVHTT-DSVH tham vấn chính sách đối với hồ sơ dự thảo Quyết định. Ngày 14 tháng 9 năm 2026, Bộ Xây dựng ban hành Công văn số 14460/BXD-QHKT góp ý dự thảo. Bộ Xây dựng về cơ bản thống nhất với cách tiếp cận cụ thể hóa nội dung được giao tại điểm b khoản 2 Điều 26 Luật Phát triển đô thị số 18/2026/QH16; đồng thời đề nghị tiếp tục rà soát phạm vi, nguyên tắc áp dụng pháp luật, đối tượng đồng thời thuộc phạm vi pháp luật về di sản văn hóa, các quy định về bảo vệ, sửa chữa, cải tạo, chuyển đổi công năng, phá dỡ, hồ sơ quản lý, dữ liệu, trách nhiệm của Sở Quy hoạch - Kiến trúc và nội dung hoàn thiện hồ sơ, hiệu lực thi hành.</w:t>
            </w:r>
          </w:p>
        </w:tc>
        <w:tc>
          <w:tcPr>
            <w:tcW w:w="2957" w:type="dxa"/>
            <w:tcMar>
              <w:top w:w="80" w:type="dxa"/>
              <w:left w:w="80" w:type="dxa"/>
              <w:bottom w:w="80" w:type="dxa"/>
              <w:right w:w="80" w:type="dxa"/>
            </w:tcMar>
            <w:vAlign w:val="center"/>
          </w:tcPr>
          <w:p>
            <w:pPr>
              <w:spacing w:after="0"/>
            </w:pPr>
            <w:r>
              <w:rPr>
                <w:color w:val="000000"/>
              </w:rPr>
              <w:t>Tiếp thu. Sở đã điều chỉnh dự thảo: phân định rõ trường hợp công trình kiến trúc có giá trị đồng thời là di tích đã xếp hạng hoặc thuộc Danh mục kiểm kê di tích; không sử dụng hồ sơ đánh giá, phân loại như căn cứ pháp lý độc lập; không hình thành cơ chế phân loại hoặc hệ thống biện pháp quản lý riêng; giới hạn yêu cầu về chương trình, kế hoạch phát triển nhà ở đối với công trình thuộc phạm vi pháp luật về nhà ở; làm rõ việc ghi nhận hiện trạng trước phá dỡ là hoạt động quản lý, lưu trữ, cập nhật dữ liệu, không phải điều kiện, thành phần hồ sơ hoặc thủ tục hành chính riêng; ưu tiên khai thác hồ sơ, cơ sở dữ liệu hiện có, không thu thập, tạo lập lại dữ liệu; rà soát trách nhiệm của Sở Quy hoạch - Kiến trúc theo đúng thẩm quyền, trình tự, thủ tục, phân công, phân cấp, ủy quyền của pháp luật về kiến trúc. Sở đồng thời rà soát số hiệu Luật Phát triển đô thị, thời điểm có hiệu lực, tên cơ quan, thuật ngữ, dẫn chiếu và lập Văn bản tiếp thu, giải trình ý kiến tham vấn của Bộ Xây dựng để cập nhật vào hồ sơ thẩm định.</w:t>
            </w:r>
          </w:p>
        </w:tc>
      </w:tr>
      <w:tr>
        <w:trPr>
          <w:cantSplit/>
        </w:trPr>
        <w:tc>
          <w:tcPr>
            <w:tcW w:w="2313" w:type="dxa"/>
            <w:tcMar>
              <w:top w:w="80" w:type="dxa"/>
              <w:left w:w="80" w:type="dxa"/>
              <w:bottom w:w="80" w:type="dxa"/>
              <w:right w:w="80" w:type="dxa"/>
            </w:tcMar>
            <w:vAlign w:val="center"/>
          </w:tcPr>
          <w:p>
            <w:pPr>
              <w:spacing w:after="0"/>
              <w:ind w:firstLine="0"/>
              <w:jc w:val="both"/>
            </w:pPr>
            <w:r>
              <w:rPr>
                <w:rFonts w:ascii="Times New Roman" w:hAnsi="Times New Roman" w:eastAsia="Times New Roman"/>
                <w:b w:val="0"/>
                <w:color w:val="000000"/>
                <w:sz w:val="20"/>
              </w:rPr>
              <w:t>Tham vấn chính sách theo quy định đối với cơ quan Mặt trận Tổ quốc Việt Nam Thành phố</w:t>
            </w:r>
          </w:p>
        </w:tc>
        <w:tc>
          <w:tcPr>
            <w:tcW w:w="3674" w:type="dxa"/>
            <w:tcMar>
              <w:top w:w="80" w:type="dxa"/>
              <w:left w:w="80" w:type="dxa"/>
              <w:bottom w:w="80" w:type="dxa"/>
              <w:right w:w="80" w:type="dxa"/>
            </w:tcMar>
            <w:vAlign w:val="center"/>
          </w:tcPr>
          <w:p>
            <w:pPr>
              <w:spacing w:after="0"/>
              <w:ind w:firstLine="0"/>
              <w:jc w:val="both"/>
            </w:pPr>
            <w:r>
              <w:rPr>
                <w:rFonts w:ascii="Times New Roman" w:hAnsi="Times New Roman" w:eastAsia="Times New Roman"/>
                <w:b w:val="0"/>
                <w:color w:val="000000"/>
                <w:sz w:val="20"/>
              </w:rPr>
              <w:t>Ban Thường trực Ủy ban Mặt trận Tổ quốc Việt Nam Thành phố Hồ Chí Minh</w:t>
            </w:r>
          </w:p>
        </w:tc>
        <w:tc>
          <w:tcPr>
            <w:tcW w:w="5085" w:type="dxa"/>
            <w:tcMar>
              <w:top w:w="80" w:type="dxa"/>
              <w:left w:w="80" w:type="dxa"/>
              <w:bottom w:w="80" w:type="dxa"/>
              <w:right w:w="80" w:type="dxa"/>
            </w:tcMar>
            <w:vAlign w:val="center"/>
          </w:tcPr>
          <w:p>
            <w:r>
              <w:rPr>
                <w:rFonts w:ascii="Times New Roman" w:hAnsi="Times New Roman" w:eastAsia="Times New Roman"/>
                <w:color w:val="000000"/>
              </w:rPr>
            </w:r>
            <w:r>
              <w:rPr>
                <w:rFonts w:ascii="Times New Roman" w:hAnsi="Times New Roman" w:eastAsia="Times New Roman"/>
                <w:b w:val="0"/>
                <w:color w:val="000000"/>
                <w:sz w:val="28"/>
              </w:rPr>
              <w:t>Ban Thường trực Ủy ban Mặt trận Tổ quốc Việt Nam Thành phố đã có Công văn số 1978/MTTQ-BTT ngày 21 tháng 8 năm 2026 góp ý trực tiếp đối với các nội dung chính sách của dự thảo trong quá trình lấy ý kiến hồ sơ theo Công văn số 11276/SVHTT-DSVH ngày 15 tháng 8 năm 2026.</w:t>
            </w:r>
          </w:p>
        </w:tc>
        <w:tc>
          <w:tcPr>
            <w:tcW w:w="2957" w:type="dxa"/>
            <w:tcMar>
              <w:top w:w="80" w:type="dxa"/>
              <w:left w:w="80" w:type="dxa"/>
              <w:bottom w:w="80" w:type="dxa"/>
              <w:right w:w="80" w:type="dxa"/>
            </w:tcMar>
            <w:vAlign w:val="center"/>
          </w:tcPr>
          <w:p>
            <w:r>
              <w:rPr>
                <w:rFonts w:ascii="Times New Roman" w:hAnsi="Times New Roman" w:eastAsia="Times New Roman"/>
                <w:color w:val="000000"/>
              </w:rPr>
            </w:r>
            <w:r>
              <w:rPr>
                <w:rFonts w:ascii="Times New Roman" w:hAnsi="Times New Roman" w:eastAsia="Times New Roman"/>
                <w:b w:val="0"/>
                <w:color w:val="000000"/>
                <w:sz w:val="28"/>
              </w:rPr>
              <w:t>Sở đã nghiên cứu, tiếp thu, giải trình các ý kiến của Ủy ban Mặt trận Tổ quốc Việt Nam Thành phố tại các nội dung tương ứng của Bản tổng hợp này và tổng hợp vào Văn bản tổng hợp kết quả tham vấn chính sách; không tổ chức lấy ý kiến lặp lại đối với cùng nội dung.</w:t>
            </w:r>
          </w:p>
        </w:tc>
      </w:tr>
    </w:tbl>
    <w:p w:rsidR="002B35EB" w:rsidRDefault="002B35EB" w:rsidP="0017174B">
      <w:pPr>
        <w:spacing w:after="0"/>
        <w:ind w:firstLine="567"/>
      </w:pPr>
    </w:p>
    <w:sectPr w:rsidR="002B35EB" w:rsidSect="004C796D">
      <w:headerReference w:type="default" r:id="rId8"/>
      <w:footerReference w:type="default" r:id="rId11"/>
      <w:pgSz w:w="15840" w:h="12240" w:orient="landscape"/>
      <w:pgMar w:top="907" w:right="907" w:bottom="850" w:left="90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845" w:rsidRDefault="004A0845" w:rsidP="004C796D">
      <w:pPr>
        <w:spacing w:after="0" w:line="240" w:lineRule="auto"/>
      </w:pPr>
      <w:r>
        <w:separator/>
      </w:r>
    </w:p>
  </w:endnote>
  <w:endnote w:type="continuationSeparator" w:id="0">
    <w:p w:rsidR="004A0845" w:rsidRDefault="004A0845" w:rsidP="004C7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845" w:rsidRDefault="004A0845" w:rsidP="004C796D">
      <w:pPr>
        <w:spacing w:after="0" w:line="240" w:lineRule="auto"/>
      </w:pPr>
      <w:r>
        <w:separator/>
      </w:r>
    </w:p>
  </w:footnote>
  <w:footnote w:type="continuationSeparator" w:id="0">
    <w:p w:rsidR="004A0845" w:rsidRDefault="004A0845" w:rsidP="004C7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2968607"/>
      <w:docPartObj>
        <w:docPartGallery w:val="Page Numbers (Top of Page)"/>
        <w:docPartUnique/>
      </w:docPartObj>
    </w:sdtPr>
    <w:sdtEndPr>
      <w:rPr>
        <w:noProof/>
      </w:rPr>
    </w:sdtEndPr>
    <w:sdtContent>
      <w:p w:rsidR="004C796D" w:rsidRDefault="004C796D">
        <w:pPr>
          <w:pStyle w:val="Header"/>
          <w:jc w:val="center"/>
        </w:pPr>
        <w:r>
          <w:fldChar w:fldCharType="begin"/>
        </w:r>
        <w:r>
          <w:instrText xml:space="preserve"> PAGE   \* MERGEFORMAT </w:instrText>
        </w:r>
        <w:r>
          <w:fldChar w:fldCharType="separate"/>
        </w:r>
        <w:r w:rsidR="00595035">
          <w:rPr>
            <w:noProof/>
          </w:rPr>
          <w:t>9</w:t>
        </w:r>
        <w:r>
          <w:rPr>
            <w:noProof/>
          </w:rPr>
          <w:fldChar w:fldCharType="end"/>
        </w:r>
      </w:p>
    </w:sdtContent>
  </w:sdt>
  <w:p w:rsidR="004C796D" w:rsidRDefault="004C796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0A66"/>
    <w:rsid w:val="00034616"/>
    <w:rsid w:val="00053F55"/>
    <w:rsid w:val="0006063C"/>
    <w:rsid w:val="000A5BFF"/>
    <w:rsid w:val="000C2A14"/>
    <w:rsid w:val="000C65B9"/>
    <w:rsid w:val="00120E1C"/>
    <w:rsid w:val="0015074B"/>
    <w:rsid w:val="0017174B"/>
    <w:rsid w:val="0029639D"/>
    <w:rsid w:val="00297277"/>
    <w:rsid w:val="002B35EB"/>
    <w:rsid w:val="00326F90"/>
    <w:rsid w:val="0034033E"/>
    <w:rsid w:val="00391429"/>
    <w:rsid w:val="004A0845"/>
    <w:rsid w:val="004C6270"/>
    <w:rsid w:val="004C796D"/>
    <w:rsid w:val="00563D00"/>
    <w:rsid w:val="005807F3"/>
    <w:rsid w:val="00583175"/>
    <w:rsid w:val="00595035"/>
    <w:rsid w:val="006C24D4"/>
    <w:rsid w:val="00831A81"/>
    <w:rsid w:val="00866EB5"/>
    <w:rsid w:val="009822AD"/>
    <w:rsid w:val="00AA1D8D"/>
    <w:rsid w:val="00B13224"/>
    <w:rsid w:val="00B47730"/>
    <w:rsid w:val="00B60743"/>
    <w:rsid w:val="00BA0D19"/>
    <w:rsid w:val="00BE0356"/>
    <w:rsid w:val="00CB0664"/>
    <w:rsid w:val="00D3555E"/>
    <w:rsid w:val="00D45AE2"/>
    <w:rsid w:val="00D954D9"/>
    <w:rsid w:val="00DD534A"/>
    <w:rsid w:val="00ED2EE3"/>
    <w:rsid w:val="00F411BD"/>
    <w:rsid w:val="00F61A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118ACF"/>
  <w14:defaultImageDpi w14:val="300"/>
  <w15:docId w15:val="{704B4FBF-B46D-4341-8B70-F3356A158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571A0-4E0A-4E01-9A64-96E4B53A9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21</Pages>
  <Words>3307</Words>
  <Characters>18852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5</cp:revision>
  <dcterms:created xsi:type="dcterms:W3CDTF">2026-09-04T03:42:00Z</dcterms:created>
  <dcterms:modified xsi:type="dcterms:W3CDTF">2026-09-04T04:21:00Z</dcterms:modified>
  <cp:category/>
</cp:coreProperties>
</file>