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7087"/>
        <w:gridCol w:w="7938"/>
      </w:tblGrid>
      <w:tr w:rsidR="00567387" w:rsidRPr="00567387">
        <w:trPr>
          <w:jc w:val="center"/>
        </w:trPr>
        <w:tc>
          <w:tcPr>
            <w:tcW w:w="7087" w:type="dxa"/>
            <w:tcBorders>
              <w:top w:val="nil"/>
              <w:left w:val="nil"/>
              <w:bottom w:val="nil"/>
              <w:right w:val="nil"/>
            </w:tcBorders>
          </w:tcPr>
          <w:p w:rsidR="003009E7" w:rsidRPr="00567387" w:rsidRDefault="008F7051">
            <w:pPr>
              <w:spacing w:after="0" w:line="252" w:lineRule="auto"/>
              <w:jc w:val="center"/>
              <w:rPr>
                <w:rFonts w:cs="Times New Roman"/>
              </w:rPr>
            </w:pPr>
            <w:r w:rsidRPr="00567387">
              <w:rPr>
                <w:rFonts w:cs="Times New Roman"/>
                <w:noProof/>
                <w:sz w:val="2"/>
                <w:szCs w:val="28"/>
              </w:rPr>
              <mc:AlternateContent>
                <mc:Choice Requires="wps">
                  <w:drawing>
                    <wp:anchor distT="0" distB="0" distL="114300" distR="114300" simplePos="0" relativeHeight="251658240" behindDoc="0" locked="0" layoutInCell="1" allowOverlap="1" wp14:anchorId="7743D2A7" wp14:editId="7FF55849">
                      <wp:simplePos x="0" y="0"/>
                      <wp:positionH relativeFrom="column">
                        <wp:posOffset>1569085</wp:posOffset>
                      </wp:positionH>
                      <wp:positionV relativeFrom="paragraph">
                        <wp:posOffset>600075</wp:posOffset>
                      </wp:positionV>
                      <wp:extent cx="1123950" cy="3175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1123950" cy="317500"/>
                              </a:xfrm>
                              <a:prstGeom prst="rect">
                                <a:avLst/>
                              </a:prstGeom>
                              <a:solidFill>
                                <a:schemeClr val="lt1"/>
                              </a:solidFill>
                              <a:ln w="6350">
                                <a:solidFill>
                                  <a:prstClr val="black"/>
                                </a:solidFill>
                              </a:ln>
                            </wps:spPr>
                            <wps:txbx>
                              <w:txbxContent>
                                <w:p w:rsidR="008F7051" w:rsidRPr="00B265AD" w:rsidRDefault="008F7051" w:rsidP="008F7051">
                                  <w:pPr>
                                    <w:jc w:val="center"/>
                                    <w:rPr>
                                      <w:rFonts w:cs="Times New Roman"/>
                                      <w:b/>
                                      <w:szCs w:val="28"/>
                                    </w:rPr>
                                  </w:pPr>
                                  <w:r w:rsidRPr="00B265AD">
                                    <w:rPr>
                                      <w:rFonts w:cs="Times New Roman"/>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43D2A7" id="_x0000_t202" coordsize="21600,21600" o:spt="202" path="m,l,21600r21600,l21600,xe">
                      <v:stroke joinstyle="miter"/>
                      <v:path gradientshapeok="t" o:connecttype="rect"/>
                    </v:shapetype>
                    <v:shape id="Text Box 4" o:spid="_x0000_s1026" type="#_x0000_t202" style="position:absolute;left:0;text-align:left;margin-left:123.55pt;margin-top:47.25pt;width:88.5pt;height: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" fillcolor="white [3201]" strokeweight=".5pt">
                      <v:textbox>
                        <w:txbxContent>
                          <w:p w:rsidR="008F7051" w:rsidRPr="00B265AD" w:rsidRDefault="008F7051" w:rsidP="008F7051">
                            <w:pPr>
                              <w:jc w:val="center"/>
                              <w:rPr>
                                <w:rFonts w:cs="Times New Roman"/>
                                <w:b/>
                                <w:szCs w:val="28"/>
                              </w:rPr>
                            </w:pPr>
                            <w:r w:rsidRPr="00B265AD">
                              <w:rPr>
                                <w:rFonts w:cs="Times New Roman"/>
                                <w:b/>
                                <w:szCs w:val="28"/>
                              </w:rPr>
                              <w:t>DỰ THẢO</w:t>
                            </w:r>
                          </w:p>
                        </w:txbxContent>
                      </v:textbox>
                    </v:shape>
                  </w:pict>
                </mc:Fallback>
              </mc:AlternateContent>
            </w:r>
            <w:r w:rsidR="00B33639" w:rsidRPr="00567387">
              <w:rPr>
                <w:rFonts w:cs="Times New Roman"/>
                <w:b/>
              </w:rPr>
              <w:t>ỦY BAN NHÂN DÂN</w:t>
            </w:r>
            <w:r w:rsidR="00B33639" w:rsidRPr="00567387">
              <w:rPr>
                <w:rFonts w:cs="Times New Roman"/>
              </w:rPr>
              <w:br/>
            </w:r>
            <w:r w:rsidR="00B33639" w:rsidRPr="00567387">
              <w:rPr>
                <w:rFonts w:cs="Times New Roman"/>
                <w:b/>
              </w:rPr>
              <w:t>THÀNH PHỐ HỒ CHÍ MINH</w:t>
            </w:r>
            <w:r w:rsidR="00B33639" w:rsidRPr="00567387">
              <w:rPr>
                <w:rFonts w:cs="Times New Roman"/>
              </w:rPr>
              <w:br/>
            </w:r>
            <w:r w:rsidR="00B33639" w:rsidRPr="00567387">
              <w:rPr>
                <w:rFonts w:cs="Times New Roman"/>
                <w:b/>
              </w:rPr>
              <w:t>-------</w:t>
            </w:r>
          </w:p>
        </w:tc>
        <w:tc>
          <w:tcPr>
            <w:tcW w:w="7938" w:type="dxa"/>
            <w:tcBorders>
              <w:top w:val="nil"/>
              <w:left w:val="nil"/>
              <w:bottom w:val="nil"/>
              <w:right w:val="nil"/>
            </w:tcBorders>
          </w:tcPr>
          <w:p w:rsidR="003009E7" w:rsidRPr="00567387" w:rsidRDefault="00B33639">
            <w:pPr>
              <w:spacing w:after="0" w:line="252" w:lineRule="auto"/>
              <w:jc w:val="center"/>
              <w:rPr>
                <w:rFonts w:cs="Times New Roman"/>
              </w:rPr>
            </w:pPr>
            <w:r w:rsidRPr="00567387">
              <w:rPr>
                <w:rFonts w:cs="Times New Roman"/>
                <w:b/>
              </w:rPr>
              <w:t>CỘNG HÒA XÃ HỘI CHỦ NGHĨA VIỆT NAM</w:t>
            </w:r>
            <w:r w:rsidRPr="00567387">
              <w:rPr>
                <w:rFonts w:cs="Times New Roman"/>
              </w:rPr>
              <w:br/>
            </w:r>
            <w:r w:rsidRPr="00567387">
              <w:rPr>
                <w:rFonts w:cs="Times New Roman"/>
                <w:b/>
              </w:rPr>
              <w:t>Độc lập - Tự do - Hạnh phúc</w:t>
            </w:r>
            <w:r w:rsidRPr="00567387">
              <w:rPr>
                <w:rFonts w:cs="Times New Roman"/>
              </w:rPr>
              <w:br/>
            </w:r>
            <w:r w:rsidRPr="00567387">
              <w:rPr>
                <w:rFonts w:cs="Times New Roman"/>
                <w:b/>
              </w:rPr>
              <w:t>---------------</w:t>
            </w:r>
          </w:p>
        </w:tc>
      </w:tr>
    </w:tbl>
    <w:p w:rsidR="003009E7" w:rsidRPr="00567387" w:rsidRDefault="00B33639">
      <w:pPr>
        <w:spacing w:after="160"/>
        <w:jc w:val="right"/>
        <w:rPr>
          <w:rFonts w:cs="Times New Roman"/>
        </w:rPr>
      </w:pPr>
      <w:r w:rsidRPr="00567387">
        <w:rPr>
          <w:rFonts w:cs="Times New Roman"/>
        </w:rPr>
        <w:t>Thành phố Hồ Chí Minh, ngày       tháng 9 năm 2026</w:t>
      </w:r>
    </w:p>
    <w:p w:rsidR="003009E7" w:rsidRPr="00567387" w:rsidRDefault="00B33639" w:rsidP="008F7051">
      <w:pPr>
        <w:spacing w:after="0"/>
        <w:jc w:val="center"/>
        <w:rPr>
          <w:rFonts w:cs="Times New Roman"/>
          <w:sz w:val="28"/>
          <w:szCs w:val="28"/>
        </w:rPr>
      </w:pPr>
      <w:r w:rsidRPr="00567387">
        <w:rPr>
          <w:rFonts w:cs="Times New Roman"/>
          <w:b/>
          <w:sz w:val="28"/>
          <w:szCs w:val="28"/>
        </w:rPr>
        <w:t>BẢN SO SÁNH, THUYẾT MINH</w:t>
      </w:r>
    </w:p>
    <w:p w:rsidR="003009E7" w:rsidRPr="00567387" w:rsidRDefault="00B33639" w:rsidP="008F7051">
      <w:pPr>
        <w:spacing w:after="120"/>
        <w:jc w:val="center"/>
        <w:rPr>
          <w:rFonts w:cs="Times New Roman"/>
          <w:sz w:val="28"/>
          <w:szCs w:val="28"/>
        </w:rPr>
      </w:pPr>
      <w:r w:rsidRPr="00567387">
        <w:rPr>
          <w:rFonts w:cs="Times New Roman"/>
          <w:b/>
          <w:sz w:val="28"/>
          <w:szCs w:val="28"/>
        </w:rPr>
        <w:t>Dự thảo Nghị quyết quy định mức chi và việc sử dụng kinh phí thực hiện công tác thăm dò, khai quật khảo cổ từ nguồn ngân sách nhà nước trên địa bàn Thành phố Hồ Chí Minh</w:t>
      </w:r>
    </w:p>
    <w:p w:rsidR="003009E7" w:rsidRPr="00567387" w:rsidRDefault="00B33639" w:rsidP="008F7051">
      <w:pPr>
        <w:spacing w:after="0"/>
        <w:ind w:firstLine="567"/>
        <w:jc w:val="both"/>
        <w:rPr>
          <w:rFonts w:cs="Times New Roman"/>
          <w:sz w:val="28"/>
          <w:szCs w:val="28"/>
        </w:rPr>
      </w:pPr>
      <w:r w:rsidRPr="00567387">
        <w:rPr>
          <w:rFonts w:cs="Times New Roman"/>
          <w:sz w:val="28"/>
          <w:szCs w:val="28"/>
        </w:rPr>
        <w:t>Thực hiện Nghị quyết số 202/2025/QH15 ngày 12 tháng 6 năm 2025 của Quốc hội về việc sắp xếp đơn vị hành chính cấp tỉnh, toàn bộ diện tích tự nhiên, quy mô dân số của Thành phố Hồ Chí Minh, tỉnh Bà Rịa - Vũng Tàu và tỉnh Bình Dương được sắp xếp thành Thành phố Hồ Chí Minh mới, chính thức hoạt động từ ngày 01 tháng 7 năm 2025.</w:t>
      </w:r>
    </w:p>
    <w:p w:rsidR="003009E7" w:rsidRPr="00567387" w:rsidRDefault="00B33639" w:rsidP="008F7051">
      <w:pPr>
        <w:spacing w:after="0"/>
        <w:ind w:firstLine="567"/>
        <w:jc w:val="both"/>
        <w:rPr>
          <w:rFonts w:cs="Times New Roman"/>
          <w:sz w:val="28"/>
          <w:szCs w:val="28"/>
        </w:rPr>
      </w:pPr>
      <w:r w:rsidRPr="00567387">
        <w:rPr>
          <w:rFonts w:cs="Times New Roman"/>
          <w:sz w:val="28"/>
          <w:szCs w:val="28"/>
        </w:rPr>
        <w:t>Trước thời điểm sắp xếp, Hội đồng nhân dân Thành phố Hồ Chí Minh, Hội đồng nhân dân tỉnh Bình Dương và Hội đồng nhân dân tỉnh Bà Rịa - Vũng Tàu đã ban hành các nghị quyết quy định mức chi và việc sử dụng kinh phí thực hiện công tác thăm dò, khai quật khảo cổ từ nguồn ngân sách nhà nước. Để khắc phục tình trạng áp dụng phân tán theo địa bàn trước sắp xếp, bảo đảm cơ sở pháp lý thống nhất trên toàn địa bàn Thành phố Hồ Chí Minh, dự thảo Nghị quyết được xây dựng để thay thế các nghị quyết nêu trên.</w:t>
      </w:r>
    </w:p>
    <w:p w:rsidR="003009E7" w:rsidRPr="00567387" w:rsidRDefault="00B33639" w:rsidP="008F7051">
      <w:pPr>
        <w:spacing w:after="0"/>
        <w:ind w:firstLine="567"/>
        <w:jc w:val="both"/>
        <w:rPr>
          <w:rFonts w:cs="Times New Roman"/>
          <w:sz w:val="28"/>
          <w:szCs w:val="28"/>
        </w:rPr>
      </w:pPr>
      <w:r w:rsidRPr="00567387">
        <w:rPr>
          <w:rFonts w:cs="Times New Roman"/>
          <w:sz w:val="28"/>
          <w:szCs w:val="28"/>
        </w:rPr>
        <w:t>Bản so sánh, thuyết minh được lập theo cấu trúc đối chiếu giữa 03 nghị quyết hiện hành trước sắp xếp với dự thảo Nghị quyết thay thế, đồng thời cập nhật theo hồ sơ đã tiếp thu, chỉnh lý hiện nay.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721"/>
        <w:gridCol w:w="2721"/>
        <w:gridCol w:w="2721"/>
        <w:gridCol w:w="3005"/>
        <w:gridCol w:w="4025"/>
      </w:tblGrid>
      <w:tr w:rsidR="00567387" w:rsidRPr="00567387">
        <w:trPr>
          <w:tblHeader/>
          <w:jc w:val="center"/>
        </w:trPr>
        <w:tc>
          <w:tcPr>
            <w:tcW w:w="2721" w:type="dxa"/>
            <w:shd w:val="clear" w:color="auto" w:fill="D9EAF7"/>
            <w:vAlign w:val="center"/>
          </w:tcPr>
          <w:p w:rsidR="003009E7" w:rsidRPr="00567387" w:rsidRDefault="00B33639">
            <w:pPr>
              <w:spacing w:after="0" w:line="240" w:lineRule="auto"/>
              <w:jc w:val="center"/>
              <w:rPr>
                <w:rFonts w:cs="Times New Roman"/>
                <w:szCs w:val="26"/>
              </w:rPr>
            </w:pPr>
            <w:r w:rsidRPr="00567387">
              <w:rPr>
                <w:rFonts w:cs="Times New Roman"/>
                <w:b/>
                <w:sz w:val="21"/>
                <w:szCs w:val="26"/>
              </w:rPr>
              <w:t>VĂN BẢN QUY PHẠM PHÁP LUẬT ÁP DỤNG TẠI THÀNH PHỐ HỒ CHÍ MINH</w:t>
            </w:r>
            <w:r w:rsidRPr="00567387">
              <w:rPr>
                <w:rFonts w:cs="Times New Roman"/>
                <w:b/>
                <w:sz w:val="21"/>
                <w:szCs w:val="26"/>
              </w:rPr>
              <w:br/>
              <w:t>(trước sắp xếp)</w:t>
            </w:r>
          </w:p>
        </w:tc>
        <w:tc>
          <w:tcPr>
            <w:tcW w:w="2721" w:type="dxa"/>
            <w:shd w:val="clear" w:color="auto" w:fill="D9EAF7"/>
            <w:vAlign w:val="center"/>
          </w:tcPr>
          <w:p w:rsidR="003009E7" w:rsidRPr="00567387" w:rsidRDefault="00B33639">
            <w:pPr>
              <w:spacing w:after="0" w:line="240" w:lineRule="auto"/>
              <w:jc w:val="center"/>
              <w:rPr>
                <w:rFonts w:cs="Times New Roman"/>
                <w:szCs w:val="26"/>
              </w:rPr>
            </w:pPr>
            <w:r w:rsidRPr="00567387">
              <w:rPr>
                <w:rFonts w:cs="Times New Roman"/>
                <w:b/>
                <w:sz w:val="21"/>
                <w:szCs w:val="26"/>
              </w:rPr>
              <w:t>VĂN BẢN QUY PHẠM PHÁP LUẬT ÁP DỤNG TẠI TỈNH BÌNH DƯƠNG</w:t>
            </w:r>
            <w:r w:rsidRPr="00567387">
              <w:rPr>
                <w:rFonts w:cs="Times New Roman"/>
                <w:b/>
                <w:sz w:val="21"/>
                <w:szCs w:val="26"/>
              </w:rPr>
              <w:br/>
              <w:t>(trước sắp xếp)</w:t>
            </w:r>
          </w:p>
        </w:tc>
        <w:tc>
          <w:tcPr>
            <w:tcW w:w="2721" w:type="dxa"/>
            <w:shd w:val="clear" w:color="auto" w:fill="D9EAF7"/>
            <w:vAlign w:val="center"/>
          </w:tcPr>
          <w:p w:rsidR="003009E7" w:rsidRPr="00567387" w:rsidRDefault="00B33639">
            <w:pPr>
              <w:spacing w:after="0" w:line="240" w:lineRule="auto"/>
              <w:jc w:val="center"/>
              <w:rPr>
                <w:rFonts w:cs="Times New Roman"/>
                <w:szCs w:val="26"/>
              </w:rPr>
            </w:pPr>
            <w:r w:rsidRPr="00567387">
              <w:rPr>
                <w:rFonts w:cs="Times New Roman"/>
                <w:b/>
                <w:sz w:val="21"/>
                <w:szCs w:val="26"/>
              </w:rPr>
              <w:t>VĂN BẢN QUY PHẠM PHÁP LUẬT ÁP DỤNG TẠI TỈNH BÀ RỊA - VŨNG TÀU</w:t>
            </w:r>
            <w:r w:rsidRPr="00567387">
              <w:rPr>
                <w:rFonts w:cs="Times New Roman"/>
                <w:b/>
                <w:sz w:val="21"/>
                <w:szCs w:val="26"/>
              </w:rPr>
              <w:br/>
              <w:t>(trước sắp xếp)</w:t>
            </w:r>
          </w:p>
        </w:tc>
        <w:tc>
          <w:tcPr>
            <w:tcW w:w="3005" w:type="dxa"/>
            <w:shd w:val="clear" w:color="auto" w:fill="D9EAF7"/>
            <w:vAlign w:val="center"/>
          </w:tcPr>
          <w:p w:rsidR="003009E7" w:rsidRPr="00567387" w:rsidRDefault="00B33639">
            <w:pPr>
              <w:spacing w:after="0" w:line="240" w:lineRule="auto"/>
              <w:jc w:val="center"/>
              <w:rPr>
                <w:rFonts w:cs="Times New Roman"/>
                <w:szCs w:val="26"/>
              </w:rPr>
            </w:pPr>
            <w:r w:rsidRPr="00567387">
              <w:rPr>
                <w:rFonts w:cs="Times New Roman"/>
                <w:b/>
                <w:sz w:val="21"/>
                <w:szCs w:val="26"/>
              </w:rPr>
              <w:t>DỰ THẢO VĂN BẢN QUY PHẠM PHÁP LUẬT THAY THẾ</w:t>
            </w:r>
          </w:p>
        </w:tc>
        <w:tc>
          <w:tcPr>
            <w:tcW w:w="4025" w:type="dxa"/>
            <w:shd w:val="clear" w:color="auto" w:fill="D9EAF7"/>
            <w:vAlign w:val="center"/>
          </w:tcPr>
          <w:p w:rsidR="003009E7" w:rsidRPr="00567387" w:rsidRDefault="00B33639">
            <w:pPr>
              <w:spacing w:after="0" w:line="240" w:lineRule="auto"/>
              <w:jc w:val="center"/>
              <w:rPr>
                <w:rFonts w:cs="Times New Roman"/>
                <w:szCs w:val="26"/>
              </w:rPr>
            </w:pPr>
            <w:r w:rsidRPr="00567387">
              <w:rPr>
                <w:rFonts w:cs="Times New Roman"/>
                <w:b/>
                <w:sz w:val="21"/>
                <w:szCs w:val="26"/>
              </w:rPr>
              <w:t>THUYẾT MINH</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 xml:space="preserve">Nghị quyết số 10/2021/NQ-HĐND ngày 25 tháng 6 năm 2021 của Hội đồng nhân dân Thành phố Hồ Chí Minh quy định về mức chi và việc sử </w:t>
            </w:r>
            <w:r w:rsidRPr="00567387">
              <w:rPr>
                <w:rFonts w:cs="Times New Roman"/>
                <w:sz w:val="21"/>
                <w:szCs w:val="26"/>
              </w:rPr>
              <w:lastRenderedPageBreak/>
              <w:t>dụng kinh phí thực hiện công tác thăm dò, khai quật khảo cổ từ nguồn ngân sách nhà nước trên địa bàn Thành phố Hồ Chí Minh.</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Nghị quyết số 04/2020/NQ-HĐND ngày 20 tháng 7 năm 2020 của Hội đồng nhân dân tỉnh Bình Dương quy định mức chi và việc sử dụng kinh </w:t>
            </w:r>
            <w:r w:rsidRPr="00567387">
              <w:rPr>
                <w:rFonts w:cs="Times New Roman"/>
                <w:sz w:val="21"/>
                <w:szCs w:val="26"/>
              </w:rPr>
              <w:lastRenderedPageBreak/>
              <w:t>phí thực hiện công tác thăm dò, khai quật khảo cổ từ nguồn ngân sách nhà nước trên địa bàn tỉnh Bình Dương.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Nghị quyết số 13/2020/NQ-HĐND ngày 13 tháng 12 năm 2020 của Hội đồng nhân dân tỉnh Bà Rịa - Vũng Tàu quy định mức chi và việc sử </w:t>
            </w:r>
            <w:r w:rsidRPr="00567387">
              <w:rPr>
                <w:rFonts w:cs="Times New Roman"/>
                <w:sz w:val="21"/>
                <w:szCs w:val="26"/>
              </w:rPr>
              <w:lastRenderedPageBreak/>
              <w:t>dụng kinh phí thực hiện công tác thăm dò, khai quật khảo cổ từ nguồn ngân sách nhà nước trên địa bàn tỉnh Bà Rịa - Vũng Tàu.</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Dự thảo Nghị quyết của Hội đồng nhân dân Thành phố “Quy định mức chi và việc sử dụng kinh phí thực hiện công tác thăm dò, khai quật khảo cổ từ nguồn </w:t>
            </w:r>
            <w:r w:rsidRPr="00567387">
              <w:rPr>
                <w:rFonts w:cs="Times New Roman"/>
                <w:sz w:val="21"/>
                <w:szCs w:val="26"/>
              </w:rPr>
              <w:lastRenderedPageBreak/>
              <w:t>ngân sách nhà nước trên địa bàn Thành phố Hồ Chí Minh”.</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Điều chỉnh tên gọi, phạm vi áp dụng phù hợp với địa giới hành chính Thành phố Hồ Chí Minh sau sắp xếp; đồng thời bảo đảm bao quát đúng nội dung được giao tại khoản 2 Điều 6 Thông tư số 67/2019/TT-BTC: mức </w:t>
            </w:r>
            <w:r w:rsidRPr="00567387">
              <w:rPr>
                <w:rFonts w:cs="Times New Roman"/>
                <w:sz w:val="21"/>
                <w:szCs w:val="26"/>
              </w:rPr>
              <w:lastRenderedPageBreak/>
              <w:t>chi và việc sử dụng kinh phí thực hiện công tác thăm dò, khai quật khảo cổ.</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Điều 1. Phạm vi điều chỉnh</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1. Quy định mức chi thực hiện công tác thăm dò, khai quật khảo cổ từ nguồn ngân sách nhà nước trên địa bàn tỉnh Bình Dương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1. Phạm vi điều chỉnh và đối tượng áp dụng</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1. Phạm vi điều chỉnh</w:t>
            </w:r>
            <w:r w:rsidRPr="00567387">
              <w:rPr>
                <w:rFonts w:cs="Times New Roman"/>
                <w:sz w:val="21"/>
                <w:szCs w:val="26"/>
              </w:rPr>
              <w:br/>
              <w:t>1. Nghị quyết này quy định mức chi thực hiện công tác thăm dò, khai quật khảo cổ từ nguồn ngân sách nhà nước trên địa bàn Thành phố Hồ Chí Minh.</w:t>
            </w:r>
            <w:r w:rsidRPr="00567387">
              <w:rPr>
                <w:rFonts w:cs="Times New Roman"/>
                <w:sz w:val="21"/>
                <w:szCs w:val="26"/>
              </w:rPr>
              <w:br/>
              <w:t>2. Quy định nguyên tắc áp dụng đối với các khoản viện trợ không hoàn lại hoặc các khoản hỗ trợ có mục đích, địa chỉ của tổ chức, cá nhân trong và ngoài nước cho các dự án thăm dò, khai quật khảo cổ.</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Kế thừa các nghị quyết hiện hành, chuẩn hóa phạm vi điều chỉnh để áp dụng thống nhất trên toàn địa bàn Thành phố Hồ Chí Minh sau sắp xếp. Nội dung “việc sử dụng kinh phí” được thể hiện thông qua nguyên tắc áp dụng tại khoản 2 Điều 1 và quy định về nguồn kinh phí tại Điều 4 của dự thảo Nghị quyết.</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Đối tượng áp dụng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Việc sử dụng kinh phí thực hiện công tác thăm dò, khai quật khảo cổ từ nguồn ngân sách nhà nước trên địa bàn tỉnh Bình Dương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1. Phạm vi điều chỉnh và đối tượng áp dụng</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Đối tượng áp dụng</w:t>
            </w:r>
            <w:r w:rsidRPr="00567387">
              <w:rPr>
                <w:rFonts w:cs="Times New Roman"/>
                <w:sz w:val="21"/>
                <w:szCs w:val="26"/>
              </w:rPr>
              <w:br/>
              <w:t>Cơ quan, đơn vị, tổ chức, cá nhân có liên quan đến công tác thăm dò, khai quật khảo cổ từ nguồn ngân sách nhà nước trên địa bàn Thành phố Hồ Chí Minh.</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Chuẩn hóa thành điều riêng về đối tượng áp dụng để rõ ràng, dễ theo dõi và phù hợp kỹ thuật trình bày của dự thảo Nghị quyết.</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3. Nguồn kinh phí; Điều 4. Nội dung chi; Điều 5. Mức chi</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1, Điều 2. Quy định mức chi và việc sử dụng kinh phí theo Thông tư số 67/2019/TT-BTC; Điều 3. Tổ chức thực hiện</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Nguồn kinh phí thực hiện; Điều 3. Mức chi</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3. Mức chi</w:t>
            </w:r>
            <w:r w:rsidRPr="00567387">
              <w:rPr>
                <w:rFonts w:cs="Times New Roman"/>
                <w:sz w:val="21"/>
                <w:szCs w:val="26"/>
              </w:rPr>
              <w:br/>
              <w:t xml:space="preserve">Quy định các mức chi chủ yếu: chi thù lao cho cán bộ khoa học, kỹ thuật; chi thù lao đối với chuyên gia tư vấn khoa học; chi hội thảo; chi thuê khoán nhân công, bảo vệ công trường và kho </w:t>
            </w:r>
            <w:r w:rsidRPr="00567387">
              <w:rPr>
                <w:rFonts w:cs="Times New Roman"/>
                <w:sz w:val="21"/>
                <w:szCs w:val="26"/>
              </w:rPr>
              <w:lastRenderedPageBreak/>
              <w:t>tạm; chi viết báo cáo; chi lập hồ sơ khoa học; các mức chi còn lại áp dụng theo Thông tư số 67/2019/TT-BTC.</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Kế thừa các nội dung chi, mức chi phù hợp đã được áp dụng ổn định tại các địa phương trước sắp xếp; không đề xuất chính sách chi mới ngoài phạm vi Thông tư số 67/2019/TT-BTC. Việc chỉnh lý kỹ thuật tại khoản 7 Điều 3 nhằm viện dẫn thống nhất các khoản 7, 8, 9, 10 và 11 Điều 4 của Thông tư số </w:t>
            </w:r>
            <w:r w:rsidRPr="00567387">
              <w:rPr>
                <w:rFonts w:cs="Times New Roman"/>
                <w:sz w:val="21"/>
                <w:szCs w:val="26"/>
              </w:rPr>
              <w:lastRenderedPageBreak/>
              <w:t>67/2019/TT-BTC.</w:t>
            </w:r>
          </w:p>
          <w:p w:rsidR="00A62811" w:rsidRPr="00567387" w:rsidRDefault="00A2678A">
            <w:pPr>
              <w:spacing w:after="0" w:line="240" w:lineRule="auto"/>
              <w:rPr>
                <w:rFonts w:cs="Times New Roman"/>
              </w:rPr>
            </w:pPr>
            <w:r w:rsidRPr="00567387">
              <w:rPr>
                <w:rFonts w:cs="Times New Roman"/>
                <w:sz w:val="21"/>
              </w:rPr>
              <w:t xml:space="preserve">Riêng mức chi thuê khoán nhân công phục vụ công tác điều tra, đào thăm dò, khai quật khảo cổ, phân loại chỉnh lý di vật và thuê khoán bảo vệ công </w:t>
            </w:r>
            <w:r w:rsidRPr="00567387">
              <w:rPr>
                <w:rFonts w:cs="Times New Roman"/>
                <w:sz w:val="21"/>
              </w:rPr>
              <w:t xml:space="preserve">trường, kho tạm 24/24 giờ: dự thảo quy định 350.000 đồng/ngày/người. Mức này nằm trong khung từ 250.000 đồng đến 350.000 đồng/ngày/người tại khoản 4 Điều 4 Thông tư số 67/2019/TT-BTC; đồng thời tương ứng mức đã áp dụng tại Thành phố Hồ Chí Minh và tỉnh Bà </w:t>
            </w:r>
            <w:r w:rsidRPr="00567387">
              <w:rPr>
                <w:rFonts w:cs="Times New Roman"/>
                <w:sz w:val="21"/>
              </w:rPr>
              <w:t>Rịa - Vũng Tàu trước sắp xếp.</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Điều 3. Nguồn kinh phí</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Việc sử dụng kinh phí thực hiện công tác thăm dò, khai quật khảo cổ từ nguồn ngân sách nhà nước trên địa bàn tỉnh Bình Dương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2. Nguồn kinh phí thực hiện</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4. Nguồn kinh phí</w:t>
            </w:r>
            <w:r w:rsidRPr="00567387">
              <w:rPr>
                <w:rFonts w:cs="Times New Roman"/>
                <w:sz w:val="21"/>
                <w:szCs w:val="26"/>
              </w:rPr>
              <w:br/>
              <w:t>1. Ngân sách thành phố bảo đảm kinh phí thực hiện công tác thăm dò, khai quật khảo cổ theo phân cấp quản lý ngân sách hiện hành.</w:t>
            </w:r>
            <w:r w:rsidRPr="00567387">
              <w:rPr>
                <w:rFonts w:cs="Times New Roman"/>
                <w:sz w:val="21"/>
                <w:szCs w:val="26"/>
              </w:rPr>
              <w:br/>
              <w:t>2. Trường hợp cần tổ chức thăm dò, khai quật khảo cổ tại khu vực, địa điểm xây dựng công trình thì nguồn kinh phí thực hiện theo quy định tại khoản 4 Điều 38 Luật Di sản văn hóa và pháp luật có liên quan.</w:t>
            </w:r>
            <w:r w:rsidRPr="00567387">
              <w:rPr>
                <w:rFonts w:cs="Times New Roman"/>
                <w:sz w:val="21"/>
                <w:szCs w:val="26"/>
              </w:rPr>
              <w:br/>
              <w:t>3. Khuyến khích huy động nguồn vốn xã hội hóa và các nguồn vốn hợp pháp khác theo quy định của pháp luật.</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Kế thừa quy định về nguồn kinh phí; đồng thời bổ sung nguyên tắc đối với trường hợp thăm dò, khai quật khảo cổ tại khu vực, địa điểm xây dựng công trình theo Luật Di sản văn hóa và pháp luật có liên quan. Nội dung này nhằm làm rõ việc sử dụng kinh phí, phù hợp yêu cầu hoàn thiện hồ sơ hiện nay.</w:t>
            </w:r>
          </w:p>
          <w:p w:rsidR="00A62811" w:rsidRPr="00567387" w:rsidRDefault="00A2678A">
            <w:pPr>
              <w:spacing w:after="0" w:line="240" w:lineRule="auto"/>
              <w:rPr>
                <w:rFonts w:cs="Times New Roman"/>
              </w:rPr>
            </w:pPr>
            <w:r w:rsidRPr="00567387">
              <w:rPr>
                <w:rFonts w:cs="Times New Roman"/>
                <w:sz w:val="21"/>
              </w:rPr>
              <w:t>Kinh phí thực hiện không xác định cố định hằn</w:t>
            </w:r>
            <w:r w:rsidRPr="00567387">
              <w:rPr>
                <w:rFonts w:cs="Times New Roman"/>
                <w:sz w:val="21"/>
              </w:rPr>
              <w:t>g năm mà được lập theo từng nhiệm vụ phát sinh, tổng hợp trong dự toán ngân sách hằng năm và bố trí theo khả năng cân đối ngân sách, phân cấp quản lý ngân sách và quy định pháp luật có liên quan.</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6. Tổ chức thực hiện</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3. Tổ chức thực hiện</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5. Tổ chức thực hiện</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Điều 5. Tổ chức thực hiện</w:t>
            </w:r>
            <w:r w:rsidRPr="00567387">
              <w:rPr>
                <w:rFonts w:cs="Times New Roman"/>
                <w:sz w:val="21"/>
                <w:szCs w:val="26"/>
              </w:rPr>
              <w:br/>
              <w:t>1. Giao Ủy ban nhân dân Thành phố tổ chức triển khai thực hiện Nghị quyết.</w:t>
            </w:r>
            <w:r w:rsidRPr="00567387">
              <w:rPr>
                <w:rFonts w:cs="Times New Roman"/>
                <w:sz w:val="21"/>
                <w:szCs w:val="26"/>
              </w:rPr>
              <w:br/>
            </w:r>
            <w:r w:rsidRPr="00567387">
              <w:rPr>
                <w:rFonts w:cs="Times New Roman"/>
                <w:sz w:val="21"/>
                <w:szCs w:val="26"/>
              </w:rPr>
              <w:lastRenderedPageBreak/>
              <w:t>2. Thường trực Hội đồng nhân dân, các Ban của Hội đồng nhân dân Thành phố, các Tổ đại biểu Hội đồng nhân dân Thành phố và các đại biểu Hội đồng nhân dân Thành phố giám sát quá trình tổ chức triển khai thực hiện Nghị quyết.</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 xml:space="preserve">Kế thừa quy định về trách nhiệm tổ chức thực hiện và trách nhiệm giám sát. Dự thảo đã lược bỏ nội dung về lập, phê duyệt dự án; cấp phép, tổ chức thực hiện thăm dò, khai </w:t>
            </w:r>
            <w:r w:rsidRPr="00567387">
              <w:rPr>
                <w:rFonts w:cs="Times New Roman"/>
                <w:sz w:val="21"/>
                <w:szCs w:val="26"/>
              </w:rPr>
              <w:lastRenderedPageBreak/>
              <w:t>quật khảo cổ và quản lý, xử lý kết quả sau thăm dò, khai quật khảo cổ để bảo đảm không quy định vượt phạm vi được giao cho Hội đồng nhân dân Thành phố tại khoản 2 Điều 6 Thông tư số 67/2019/TT-BTC.</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lastRenderedPageBreak/>
              <w:t>Điều 7. Thường trực Hội đồng nhân dân thành phố, các Ban, các Tổ đại biểu và đại biểu Hội đồng nhân dân thành phố giám sát quá trình tổ chức triển khai thực hiện Nghị quyết.</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riêng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riêng</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Khoản 2 Điều 5. Quy định trách nhiệm giám sát của Thường trực Hội đồng nhân dân, các Ban của Hội đồng nhân dân Thành phố, các Tổ đại biểu và đại biểu Hội đồng nhân dân Thành phố.</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Kế thừa và phân bổ tại Điều 5 của dự thảo Nghị quyết để bảo đảm bố cục gọn, thống nhất với điều về tổ chức thực hiện.</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riêng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riêng</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riêng</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Khoản 2 Điều 6. Trường hợp các văn bản được viện dẫn, dẫn chiếu tại Nghị quyết này được sửa đổi, bổ sung hoặc thay thế bằng văn bản mới thì áp dụng theo văn bản mới ban hà</w:t>
            </w:r>
            <w:bookmarkStart w:id="0" w:name="_GoBack"/>
            <w:bookmarkEnd w:id="0"/>
            <w:r w:rsidRPr="00567387">
              <w:rPr>
                <w:rFonts w:cs="Times New Roman"/>
                <w:sz w:val="21"/>
                <w:szCs w:val="26"/>
              </w:rPr>
              <w:t>nh, trừ trường hợp pháp luật có quy định khác.</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Bổ sung vào Điều 6 về điều khoản thi hành để phù hợp kỹ thuật trình bày và bảo đảm thuận lợi khi áp dụng trong trường hợp văn bản được viện dẫn, dẫn chiếu có sửa đổi, bổ sung hoặc thay thế.</w:t>
            </w:r>
          </w:p>
        </w:tc>
      </w:tr>
      <w:tr w:rsidR="00567387" w:rsidRPr="00567387">
        <w:trPr>
          <w:jc w:val="center"/>
        </w:trPr>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việc hết hiệu lực sau sắp xếp</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việc hết hiệu lực sau sắp xếp</w:t>
            </w:r>
          </w:p>
        </w:tc>
        <w:tc>
          <w:tcPr>
            <w:tcW w:w="2721"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Không quy định việc hết hiệu lực sau sắp xếp</w:t>
            </w:r>
          </w:p>
        </w:tc>
        <w:tc>
          <w:tcPr>
            <w:tcW w:w="300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Khoản 3 Điều 6. Quy định Nghị quyết số 10/2021/NQ-HĐND, Nghị quyết số 04/2020/NQ-HĐND và Nghị quyết số 13/2020/NQ-HĐND hết hiệu lực kể từ ngày Nghị quyết mới có hiệu lực thi hành.</w:t>
            </w:r>
          </w:p>
        </w:tc>
        <w:tc>
          <w:tcPr>
            <w:tcW w:w="4025" w:type="dxa"/>
            <w:vAlign w:val="center"/>
          </w:tcPr>
          <w:p w:rsidR="003009E7" w:rsidRPr="00567387" w:rsidRDefault="00B33639" w:rsidP="008F7051">
            <w:pPr>
              <w:spacing w:after="0" w:line="240" w:lineRule="auto"/>
              <w:jc w:val="both"/>
              <w:rPr>
                <w:rFonts w:cs="Times New Roman"/>
                <w:szCs w:val="26"/>
              </w:rPr>
            </w:pPr>
            <w:r w:rsidRPr="00567387">
              <w:rPr>
                <w:rFonts w:cs="Times New Roman"/>
                <w:sz w:val="21"/>
                <w:szCs w:val="26"/>
              </w:rPr>
              <w:t>Xử lý rõ hiệu lực của 03 nghị quyết trước sắp xếp, bảo đảm thống nhất khi áp dụng trên toàn địa bàn Thành phố Hồ Chí Minh sau khi Nghị quyết mới có hiệu lực thi hành.</w:t>
            </w:r>
          </w:p>
        </w:tc>
      </w:tr>
      <w:tr w:rsidR="00567387" w:rsidRPr="00567387">
        <w:trPr>
          <w:jc w:val="center"/>
        </w:trPr>
        <w:tc>
          <w:tcPr>
            <w:tcW w:w="2721" w:type="dxa"/>
            <w:vAlign w:val="center"/>
          </w:tcPr>
          <w:p w:rsidR="00A62811" w:rsidRPr="00567387" w:rsidRDefault="00A2678A">
            <w:pPr>
              <w:spacing w:after="0" w:line="240" w:lineRule="auto"/>
              <w:rPr>
                <w:rFonts w:cs="Times New Roman"/>
              </w:rPr>
            </w:pPr>
            <w:r w:rsidRPr="00567387">
              <w:rPr>
                <w:rFonts w:cs="Times New Roman"/>
                <w:sz w:val="21"/>
              </w:rPr>
              <w:t>Không quy định riêng</w:t>
            </w:r>
          </w:p>
        </w:tc>
        <w:tc>
          <w:tcPr>
            <w:tcW w:w="2721" w:type="dxa"/>
            <w:vAlign w:val="center"/>
          </w:tcPr>
          <w:p w:rsidR="00A62811" w:rsidRPr="00567387" w:rsidRDefault="00A2678A">
            <w:pPr>
              <w:spacing w:after="0" w:line="240" w:lineRule="auto"/>
              <w:rPr>
                <w:rFonts w:cs="Times New Roman"/>
              </w:rPr>
            </w:pPr>
            <w:r w:rsidRPr="00567387">
              <w:rPr>
                <w:rFonts w:cs="Times New Roman"/>
                <w:sz w:val="21"/>
              </w:rPr>
              <w:t>Không quy định riêng</w:t>
            </w:r>
          </w:p>
        </w:tc>
        <w:tc>
          <w:tcPr>
            <w:tcW w:w="2721" w:type="dxa"/>
            <w:vAlign w:val="center"/>
          </w:tcPr>
          <w:p w:rsidR="00A62811" w:rsidRPr="00567387" w:rsidRDefault="00A2678A">
            <w:pPr>
              <w:spacing w:after="0" w:line="240" w:lineRule="auto"/>
              <w:rPr>
                <w:rFonts w:cs="Times New Roman"/>
              </w:rPr>
            </w:pPr>
            <w:r w:rsidRPr="00567387">
              <w:rPr>
                <w:rFonts w:cs="Times New Roman"/>
                <w:sz w:val="21"/>
              </w:rPr>
              <w:t>Không quy định riêng</w:t>
            </w:r>
          </w:p>
        </w:tc>
        <w:tc>
          <w:tcPr>
            <w:tcW w:w="3005" w:type="dxa"/>
            <w:vAlign w:val="center"/>
          </w:tcPr>
          <w:p w:rsidR="00A62811" w:rsidRPr="00567387" w:rsidRDefault="00A2678A">
            <w:pPr>
              <w:spacing w:after="0" w:line="240" w:lineRule="auto"/>
              <w:rPr>
                <w:rFonts w:cs="Times New Roman"/>
              </w:rPr>
            </w:pPr>
            <w:r w:rsidRPr="00567387">
              <w:rPr>
                <w:rFonts w:cs="Times New Roman"/>
                <w:sz w:val="21"/>
              </w:rPr>
              <w:t>Khoản 4 Điều 6. Đối với dự án, nhiệm vụ thăm dò, khai quật</w:t>
            </w:r>
            <w:r w:rsidRPr="00567387">
              <w:rPr>
                <w:rFonts w:cs="Times New Roman"/>
                <w:sz w:val="21"/>
              </w:rPr>
              <w:t xml:space="preserve"> </w:t>
            </w:r>
            <w:r w:rsidRPr="00567387">
              <w:rPr>
                <w:rFonts w:cs="Times New Roman"/>
                <w:sz w:val="21"/>
              </w:rPr>
              <w:lastRenderedPageBreak/>
              <w:t>khảo cổ đã được cấp có thẩm quyền phê duyệt dự toán hoặc đã ký hợp đồng trước ngày Nghị quyết này có hiệu lực thi hành thì tiếp tục thực hiện theo dự toán được phê duyệt hoặc hợp đồng đã ký kết; trường hợp điều chỉnh dự toán sau ngày Nghị quyết này có hiệ</w:t>
            </w:r>
            <w:r w:rsidRPr="00567387">
              <w:rPr>
                <w:rFonts w:cs="Times New Roman"/>
                <w:sz w:val="21"/>
              </w:rPr>
              <w:t>u lực thi hành thì áp dụng quy định tại Nghị quyết này, trừ trường hợp pháp luật có quy định khác.</w:t>
            </w:r>
          </w:p>
        </w:tc>
        <w:tc>
          <w:tcPr>
            <w:tcW w:w="4025" w:type="dxa"/>
            <w:vAlign w:val="center"/>
          </w:tcPr>
          <w:p w:rsidR="00A62811" w:rsidRPr="00567387" w:rsidRDefault="00A2678A">
            <w:pPr>
              <w:spacing w:after="0" w:line="240" w:lineRule="auto"/>
              <w:rPr>
                <w:rFonts w:cs="Times New Roman"/>
              </w:rPr>
            </w:pPr>
            <w:r w:rsidRPr="00567387">
              <w:rPr>
                <w:rFonts w:cs="Times New Roman"/>
                <w:sz w:val="21"/>
              </w:rPr>
              <w:lastRenderedPageBreak/>
              <w:t xml:space="preserve">Bổ sung quy định chuyển tiếp để bảo đảm không làm gián đoạn việc thực hiện các dự </w:t>
            </w:r>
            <w:r w:rsidRPr="00567387">
              <w:rPr>
                <w:rFonts w:cs="Times New Roman"/>
                <w:sz w:val="21"/>
              </w:rPr>
              <w:lastRenderedPageBreak/>
              <w:t>án, nhiệm vụ đã được phê duyệt dự toán hoặc ký hợp đồng trước thời điểm Ngh</w:t>
            </w:r>
            <w:r w:rsidRPr="00567387">
              <w:rPr>
                <w:rFonts w:cs="Times New Roman"/>
                <w:sz w:val="21"/>
              </w:rPr>
              <w:t>ị quyết mới có hiệu lực; đồng thời xác định rõ nguyên tắc áp dụng khi điều chỉnh dự toán sau thời điểm Nghị quyết có hiệu lực.</w:t>
            </w:r>
          </w:p>
        </w:tc>
      </w:tr>
    </w:tbl>
    <w:p w:rsidR="003009E7" w:rsidRPr="00567387" w:rsidRDefault="00B33639" w:rsidP="008F7051">
      <w:pPr>
        <w:spacing w:after="0"/>
        <w:ind w:firstLine="567"/>
        <w:rPr>
          <w:rFonts w:cs="Times New Roman"/>
        </w:rPr>
      </w:pPr>
      <w:r w:rsidRPr="00567387">
        <w:rPr>
          <w:rFonts w:cs="Times New Roman"/>
        </w:rPr>
        <w:lastRenderedPageBreak/>
        <w:t>Trên đây là Bản so sánh, thuyết minh nội dung dự thảo Nghị quyết với các nghị quyết hiện hành được thay thế./.</w:t>
      </w:r>
    </w:p>
    <w:p w:rsidR="003009E7" w:rsidRPr="00567387" w:rsidRDefault="00B33639" w:rsidP="008F7051">
      <w:pPr>
        <w:spacing w:before="240"/>
        <w:ind w:left="8505"/>
        <w:jc w:val="center"/>
        <w:rPr>
          <w:rFonts w:cs="Times New Roman"/>
        </w:rPr>
      </w:pPr>
      <w:r w:rsidRPr="00567387">
        <w:rPr>
          <w:rFonts w:cs="Times New Roman"/>
          <w:b/>
        </w:rPr>
        <w:t>TM. ỦY BAN NHÂN DÂN</w:t>
      </w:r>
      <w:r w:rsidRPr="00567387">
        <w:rPr>
          <w:rFonts w:cs="Times New Roman"/>
          <w:b/>
        </w:rPr>
        <w:br/>
        <w:t>KT. CHỦ TỊCH</w:t>
      </w:r>
      <w:r w:rsidRPr="00567387">
        <w:rPr>
          <w:rFonts w:cs="Times New Roman"/>
          <w:b/>
        </w:rPr>
        <w:br/>
        <w:t>PHÓ CHỦ TỊCH</w:t>
      </w:r>
    </w:p>
    <w:sectPr w:rsidR="003009E7" w:rsidRPr="00567387" w:rsidSect="00E64809">
      <w:headerReference w:type="default" r:id="rId8"/>
      <w:pgSz w:w="16838" w:h="11906" w:orient="landscape"/>
      <w:pgMar w:top="1418" w:right="1134"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78A" w:rsidRDefault="00A2678A" w:rsidP="008F7051">
      <w:pPr>
        <w:spacing w:after="0" w:line="240" w:lineRule="auto"/>
      </w:pPr>
      <w:r>
        <w:separator/>
      </w:r>
    </w:p>
  </w:endnote>
  <w:endnote w:type="continuationSeparator" w:id="0">
    <w:p w:rsidR="00A2678A" w:rsidRDefault="00A2678A" w:rsidP="008F7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78A" w:rsidRDefault="00A2678A" w:rsidP="008F7051">
      <w:pPr>
        <w:spacing w:after="0" w:line="240" w:lineRule="auto"/>
      </w:pPr>
      <w:r>
        <w:separator/>
      </w:r>
    </w:p>
  </w:footnote>
  <w:footnote w:type="continuationSeparator" w:id="0">
    <w:p w:rsidR="00A2678A" w:rsidRDefault="00A2678A" w:rsidP="008F7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593159841"/>
      <w:docPartObj>
        <w:docPartGallery w:val="Page Numbers (Top of Page)"/>
        <w:docPartUnique/>
      </w:docPartObj>
    </w:sdtPr>
    <w:sdtEndPr>
      <w:rPr>
        <w:noProof/>
      </w:rPr>
    </w:sdtEndPr>
    <w:sdtContent>
      <w:p w:rsidR="008F7051" w:rsidRPr="00567387" w:rsidRDefault="008F7051">
        <w:pPr>
          <w:pStyle w:val="Header"/>
          <w:jc w:val="center"/>
          <w:rPr>
            <w:sz w:val="24"/>
          </w:rPr>
        </w:pPr>
        <w:r w:rsidRPr="00567387">
          <w:rPr>
            <w:sz w:val="24"/>
          </w:rPr>
          <w:fldChar w:fldCharType="begin"/>
        </w:r>
        <w:r w:rsidRPr="00567387">
          <w:rPr>
            <w:sz w:val="24"/>
          </w:rPr>
          <w:instrText xml:space="preserve"> PAGE   \* MERGEFORMAT </w:instrText>
        </w:r>
        <w:r w:rsidRPr="00567387">
          <w:rPr>
            <w:sz w:val="24"/>
          </w:rPr>
          <w:fldChar w:fldCharType="separate"/>
        </w:r>
        <w:r w:rsidR="00567387">
          <w:rPr>
            <w:noProof/>
            <w:sz w:val="24"/>
          </w:rPr>
          <w:t>5</w:t>
        </w:r>
        <w:r w:rsidRPr="00567387">
          <w:rPr>
            <w:noProof/>
            <w:sz w:val="24"/>
          </w:rPr>
          <w:fldChar w:fldCharType="end"/>
        </w:r>
      </w:p>
    </w:sdtContent>
  </w:sdt>
  <w:p w:rsidR="008F7051" w:rsidRPr="00567387" w:rsidRDefault="008F7051">
    <w:pPr>
      <w:pStyle w:val="Head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09E7"/>
    <w:rsid w:val="00326F90"/>
    <w:rsid w:val="00567387"/>
    <w:rsid w:val="008F7051"/>
    <w:rsid w:val="00A2678A"/>
    <w:rsid w:val="00A62811"/>
    <w:rsid w:val="00AA1D8D"/>
    <w:rsid w:val="00B33639"/>
    <w:rsid w:val="00B47730"/>
    <w:rsid w:val="00CB0664"/>
    <w:rsid w:val="00E648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14C18BF-1F95-4E33-BC76-A182FBBC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6A9FD-D2FE-46FF-9944-DA657714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dcterms:created xsi:type="dcterms:W3CDTF">2013-12-23T23:15:00Z</dcterms:created>
  <dcterms:modified xsi:type="dcterms:W3CDTF">2026-09-03T04:41:00Z</dcterms:modified>
  <cp:category/>
</cp:coreProperties>
</file>