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4" w:type="dxa"/>
        <w:jc w:val="center"/>
        <w:tblLayout w:type="fixed"/>
        <w:tblLook w:val="04A0" w:firstRow="1" w:lastRow="0" w:firstColumn="1" w:lastColumn="0" w:noHBand="0" w:noVBand="1"/>
      </w:tblPr>
      <w:tblGrid>
        <w:gridCol w:w="7682"/>
        <w:gridCol w:w="7682"/>
      </w:tblGrid>
      <w:tr w:rsidR="00D954D9" w:rsidRPr="00B80E31" w:rsidTr="00194E28">
        <w:trPr>
          <w:jc w:val="center"/>
        </w:trPr>
        <w:tc>
          <w:tcPr>
            <w:tcW w:w="7682" w:type="dxa"/>
            <w:tcBorders>
              <w:top w:val="nil"/>
              <w:left w:val="nil"/>
              <w:bottom w:val="nil"/>
              <w:right w:val="nil"/>
            </w:tcBorders>
            <w:tcMar>
              <w:top w:w="80" w:type="dxa"/>
              <w:left w:w="90" w:type="dxa"/>
              <w:bottom w:w="80" w:type="dxa"/>
              <w:right w:w="90" w:type="dxa"/>
            </w:tcMar>
          </w:tcPr>
          <w:p w:rsidR="00D954D9" w:rsidRPr="00B80E31" w:rsidRDefault="00D954D9" w:rsidP="00194E28">
            <w:pPr>
              <w:spacing w:line="240" w:lineRule="auto"/>
              <w:ind w:left="-108" w:right="-108"/>
              <w:contextualSpacing/>
              <w:jc w:val="center"/>
              <w:rPr>
                <w:rFonts w:cs="Times New Roman"/>
                <w:bCs/>
                <w:spacing w:val="-8"/>
                <w:sz w:val="26"/>
                <w:szCs w:val="26"/>
              </w:rPr>
            </w:pPr>
            <w:r w:rsidRPr="00B80E31">
              <w:rPr>
                <w:rFonts w:cs="Times New Roman"/>
                <w:bCs/>
                <w:spacing w:val="-8"/>
                <w:sz w:val="26"/>
                <w:szCs w:val="26"/>
              </w:rPr>
              <w:t>ỦY BAN NHÂN DÂN</w:t>
            </w:r>
          </w:p>
          <w:p w:rsidR="00D954D9" w:rsidRPr="00B80E31" w:rsidRDefault="00D954D9" w:rsidP="00194E28">
            <w:pPr>
              <w:spacing w:line="240" w:lineRule="auto"/>
              <w:ind w:left="-108" w:right="-108"/>
              <w:contextualSpacing/>
              <w:jc w:val="center"/>
              <w:rPr>
                <w:rFonts w:cs="Times New Roman"/>
                <w:bCs/>
                <w:spacing w:val="-8"/>
                <w:sz w:val="26"/>
                <w:szCs w:val="26"/>
              </w:rPr>
            </w:pPr>
            <w:r w:rsidRPr="00B80E31">
              <w:rPr>
                <w:rFonts w:cs="Times New Roman"/>
                <w:bCs/>
                <w:spacing w:val="-8"/>
                <w:sz w:val="26"/>
                <w:szCs w:val="26"/>
              </w:rPr>
              <w:t>THÀNH PHỐ HỒ CHÍ MINH</w:t>
            </w:r>
          </w:p>
          <w:p w:rsidR="00D954D9" w:rsidRPr="00B80E31" w:rsidRDefault="00D954D9" w:rsidP="00194E28">
            <w:pPr>
              <w:spacing w:after="0" w:line="240" w:lineRule="auto"/>
              <w:contextualSpacing/>
              <w:jc w:val="center"/>
              <w:rPr>
                <w:rFonts w:cs="Times New Roman"/>
              </w:rPr>
            </w:pPr>
            <w:r w:rsidRPr="00B80E31">
              <w:rPr>
                <w:rFonts w:cs="Times New Roman"/>
                <w:noProof/>
                <w:sz w:val="26"/>
                <w:szCs w:val="26"/>
              </w:rPr>
              <mc:AlternateContent>
                <mc:Choice Requires="wps">
                  <w:drawing>
                    <wp:anchor distT="0" distB="0" distL="114300" distR="114300" simplePos="0" relativeHeight="251659264" behindDoc="0" locked="0" layoutInCell="1" allowOverlap="1" wp14:anchorId="583166E2" wp14:editId="7A44D2E6">
                      <wp:simplePos x="0" y="0"/>
                      <wp:positionH relativeFrom="column">
                        <wp:posOffset>1437005</wp:posOffset>
                      </wp:positionH>
                      <wp:positionV relativeFrom="paragraph">
                        <wp:posOffset>211455</wp:posOffset>
                      </wp:positionV>
                      <wp:extent cx="187642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F8FEA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16.65pt" to="260.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jJxAEAAMwDAAAOAAAAZHJzL2Uyb0RvYy54bWysU02P0zAQvSPxHyzfadIIllXUdA9dwYWP&#10;FQs/wHXsxsL2WGNvk/57xk4TECCEEBcrnpn3Zt7zZHc3OcvOCqMB3/HtpuZMeQm98aeOf/n85sUt&#10;ZzEJ3wsLXnX8oiK/2z9/thtDqxoYwPYKGZH42I6h40NKoa2qKAflRNxAUJ6SGtCJRFc8VT2Kkdid&#10;rZq6vqlGwD4gSBUjRe/nJN8Xfq2VTB+1jiox23GaLZUTy3nMZ7XfifaEIgxGXscQ/zCFE8ZT05Xq&#10;XiTBntD8QuWMRIig00aCq0BrI1XRQGq29U9qHgcRVNFC5sSw2hT/H638cH5AZvqON5x54eiJHhMK&#10;cxoSO4D3ZCAga7JPY4gtlR/8A15vMRD2OL6HnmDiKUGxYNLoshUkjk3F6cvqtJoSkxTc3r6+edm8&#10;4kwuuUq0CzBgTG8VOJY/Om6NzyaIVpzfxUStqXQpyWHrcyxPl+eZ54zpYtWc/KQ06cs9C0nZLHWw&#10;yM6CdqL/us3aiNJ6qswQbaxdQfWfQdfaDFNl2/4WuFaXjuDTCnTGA/6ua5qWUfVcv6ietWYDjtBf&#10;yusUO2hlirLreued/PFe4N9/wv03AAAA//8DAFBLAwQUAAYACAAAACEANOJyPd4AAAAJAQAADwAA&#10;AGRycy9kb3ducmV2LnhtbEyPQU+DQBCF7yb+h82Y9GaXQmwbZGmMtic9IHrwuGVHIGVnCbsF6q93&#10;jAc9TWbey5vvZbvZdmLEwbeOFKyWEQikypmWagXvb4fbLQgfNBndOUIFF/Swy6+vMp0aN9ErjmWo&#10;BYeQT7WCJoQ+ldJXDVrtl65HYu3TDVYHXodamkFPHG47GUfRWlrdEn9odI+PDVan8mwVbPbPZdFP&#10;Ty9fhdzIohhd2J4+lFrczA/3IALO4c8MP/iMDjkzHd2ZjBedgjheJ2xVkCQ82XAXr7jL8fcg80z+&#10;b5B/AwAA//8DAFBLAQItABQABgAIAAAAIQC2gziS/gAAAOEBAAATAAAAAAAAAAAAAAAAAAAAAABb&#10;Q29udGVudF9UeXBlc10ueG1sUEsBAi0AFAAGAAgAAAAhADj9If/WAAAAlAEAAAsAAAAAAAAAAAAA&#10;AAAALwEAAF9yZWxzLy5yZWxzUEsBAi0AFAAGAAgAAAAhAPtDiMnEAQAAzAMAAA4AAAAAAAAAAAAA&#10;AAAALgIAAGRycy9lMm9Eb2MueG1sUEsBAi0AFAAGAAgAAAAhADTicj3eAAAACQEAAA8AAAAAAAAA&#10;AAAAAAAAHgQAAGRycy9kb3ducmV2LnhtbFBLBQYAAAAABAAEAPMAAAApBQAAAAA=&#10;" strokecolor="black [3040]"/>
                  </w:pict>
                </mc:Fallback>
              </mc:AlternateContent>
            </w:r>
            <w:r w:rsidRPr="00B80E31">
              <w:rPr>
                <w:rFonts w:cs="Times New Roman"/>
                <w:b/>
                <w:spacing w:val="-8"/>
                <w:sz w:val="26"/>
                <w:szCs w:val="26"/>
              </w:rPr>
              <w:t>SỞ VĂN HÓA VÀ THỂ THAO</w:t>
            </w:r>
          </w:p>
        </w:tc>
        <w:tc>
          <w:tcPr>
            <w:tcW w:w="7682" w:type="dxa"/>
            <w:tcBorders>
              <w:top w:val="nil"/>
              <w:left w:val="nil"/>
              <w:bottom w:val="nil"/>
              <w:right w:val="nil"/>
            </w:tcBorders>
            <w:tcMar>
              <w:top w:w="80" w:type="dxa"/>
              <w:left w:w="90" w:type="dxa"/>
              <w:bottom w:w="80" w:type="dxa"/>
              <w:right w:w="90" w:type="dxa"/>
            </w:tcMar>
          </w:tcPr>
          <w:p w:rsidR="00D954D9" w:rsidRPr="00B80E31" w:rsidRDefault="00D954D9" w:rsidP="00194E28">
            <w:pPr>
              <w:spacing w:after="0" w:line="240" w:lineRule="auto"/>
              <w:jc w:val="center"/>
              <w:rPr>
                <w:rFonts w:cs="Times New Roman"/>
              </w:rPr>
            </w:pPr>
            <w:r w:rsidRPr="00B80E31">
              <w:rPr>
                <w:rFonts w:cs="Times New Roman"/>
                <w:noProof/>
                <w:szCs w:val="26"/>
              </w:rPr>
              <mc:AlternateContent>
                <mc:Choice Requires="wps">
                  <w:drawing>
                    <wp:anchor distT="0" distB="0" distL="114300" distR="114300" simplePos="0" relativeHeight="251660288" behindDoc="0" locked="0" layoutInCell="1" allowOverlap="1" wp14:anchorId="3D5BC9DA" wp14:editId="055B7343">
                      <wp:simplePos x="0" y="0"/>
                      <wp:positionH relativeFrom="column">
                        <wp:posOffset>1437005</wp:posOffset>
                      </wp:positionH>
                      <wp:positionV relativeFrom="paragraph">
                        <wp:posOffset>383540</wp:posOffset>
                      </wp:positionV>
                      <wp:extent cx="187642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8764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6FA6C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15pt,30.2pt" to="260.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7C9wwEAAMwDAAAOAAAAZHJzL2Uyb0RvYy54bWysU02P0zAQvSPxHyzfadIKllXUtIeu4MLH&#10;il1+wNSxGwvbY9neJv33jJ0moAUhhLhY8cy8N/OeJ9v9aA07yxA1upavVzVn0gnstDu1/Ovju1e3&#10;nMUErgODTrb8IiPf716+2A6+kRvs0XQyMCJxsRl8y/uUfFNVUfTSQlyhl46SCoOFRNdwqroAA7Fb&#10;U23q+qYaMHQ+oJAxUvRuSvJd4VdKivRZqSgTMy2n2VI5QzmP+ax2W2hOAXyvxXUM+IcpLGhHTReq&#10;O0jAnoL+hcpqETCiSiuBtkKltJBFA6lZ18/UPPTgZdFC5kS/2BT/H634dL4PTHf0dpw5sPREDymA&#10;PvWJHdA5MhADW2efBh8bKj+4+3C9RU/Y4/ARO4LBU8JiwaiCzVaQODYWpy+L03JMTFBwffv25vXm&#10;DWdizlXQzEAfYnov0bL80XKjXTYBGjh/iIlaU+lcksPG5VieLs8zzRnTxcgp+UUq0pd7FpKyWfJg&#10;AjsD7UT3rWgjSuOoMkOUNmYB1X8GXWszTJZt+1vgUl06oksL0GqH4Xdd0ziPqqb6WfWkNRtwxO5S&#10;XqfYQStTzLqud97Jn+8F/uMn3H0HAAD//wMAUEsDBBQABgAIAAAAIQAwvy+F3gAAAAkBAAAPAAAA&#10;ZHJzL2Rvd25yZXYueG1sTI9NT4NAEIbvJv0Pm2nizS5FSxtkaYwfJz0gevC4ZUcgZWcJuwX01zvG&#10;Qz3OzJN3njfbz7YTIw6+daRgvYpAIFXOtFQreH97utqB8EGT0Z0jVPCFHvb54iLTqXETveJYhlpw&#10;CPlUK2hC6FMpfdWg1X7leiS+fbrB6sDjUEsz6InDbSfjKEqk1S3xh0b3eN9gdSxPVsH28bks+unh&#10;5buQW1kUowu744dSl8v57hZEwDmcYfjVZ3XI2engTmS86BTEcXLNqIIkugHBwCZec5fD30Lmmfzf&#10;IP8BAAD//wMAUEsBAi0AFAAGAAgAAAAhALaDOJL+AAAA4QEAABMAAAAAAAAAAAAAAAAAAAAAAFtD&#10;b250ZW50X1R5cGVzXS54bWxQSwECLQAUAAYACAAAACEAOP0h/9YAAACUAQAACwAAAAAAAAAAAAAA&#10;AAAvAQAAX3JlbHMvLnJlbHNQSwECLQAUAAYACAAAACEAZdewvcMBAADMAwAADgAAAAAAAAAAAAAA&#10;AAAuAgAAZHJzL2Uyb0RvYy54bWxQSwECLQAUAAYACAAAACEAML8vhd4AAAAJAQAADwAAAAAAAAAA&#10;AAAAAAAdBAAAZHJzL2Rvd25yZXYueG1sUEsFBgAAAAAEAAQA8wAAACgFAAAAAA==&#10;" strokecolor="black [3040]"/>
                  </w:pict>
                </mc:Fallback>
              </mc:AlternateContent>
            </w:r>
            <w:r w:rsidRPr="00B80E31">
              <w:rPr>
                <w:rFonts w:cs="Times New Roman"/>
                <w:b/>
              </w:rPr>
              <w:t>CỘNG HÒA XÃ HỘI CHỦ NGHĨA VIỆT NAM</w:t>
            </w:r>
            <w:r w:rsidRPr="00B80E31">
              <w:rPr>
                <w:rFonts w:cs="Times New Roman"/>
              </w:rPr>
              <w:br/>
            </w:r>
            <w:r w:rsidRPr="00B80E31">
              <w:rPr>
                <w:rFonts w:cs="Times New Roman"/>
                <w:b/>
              </w:rPr>
              <w:t>Độc lập - Tự do - Hạnh phúc</w:t>
            </w:r>
          </w:p>
        </w:tc>
      </w:tr>
      <w:tr w:rsidR="00D954D9" w:rsidRPr="00B80E31" w:rsidTr="00194E28">
        <w:trPr>
          <w:jc w:val="center"/>
        </w:trPr>
        <w:tc>
          <w:tcPr>
            <w:tcW w:w="7682" w:type="dxa"/>
            <w:tcBorders>
              <w:top w:val="nil"/>
              <w:left w:val="nil"/>
              <w:bottom w:val="nil"/>
              <w:right w:val="nil"/>
            </w:tcBorders>
            <w:tcMar>
              <w:top w:w="80" w:type="dxa"/>
              <w:left w:w="90" w:type="dxa"/>
              <w:bottom w:w="80" w:type="dxa"/>
              <w:right w:w="90" w:type="dxa"/>
            </w:tcMar>
          </w:tcPr>
          <w:p w:rsidR="00D954D9" w:rsidRPr="00B80E31" w:rsidRDefault="00D954D9" w:rsidP="00194E28">
            <w:pPr>
              <w:spacing w:after="0" w:line="240" w:lineRule="auto"/>
              <w:jc w:val="both"/>
              <w:rPr>
                <w:rFonts w:cs="Times New Roman"/>
              </w:rPr>
            </w:pPr>
            <w:r w:rsidRPr="002D503D">
              <w:rPr>
                <w:rFonts w:cs="Times New Roman"/>
                <w:noProof/>
                <w:sz w:val="26"/>
                <w:szCs w:val="26"/>
              </w:rPr>
              <mc:AlternateContent>
                <mc:Choice Requires="wps">
                  <w:drawing>
                    <wp:anchor distT="0" distB="0" distL="114300" distR="114300" simplePos="0" relativeHeight="251661312" behindDoc="0" locked="0" layoutInCell="1" allowOverlap="1" wp14:anchorId="20617442" wp14:editId="55B5D42D">
                      <wp:simplePos x="0" y="0"/>
                      <wp:positionH relativeFrom="column">
                        <wp:posOffset>1699246</wp:posOffset>
                      </wp:positionH>
                      <wp:positionV relativeFrom="paragraph">
                        <wp:posOffset>38853</wp:posOffset>
                      </wp:positionV>
                      <wp:extent cx="1211580" cy="323850"/>
                      <wp:effectExtent l="0" t="0" r="2667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D954D9" w:rsidRPr="00BD786D" w:rsidRDefault="00D954D9" w:rsidP="00D954D9">
                                  <w:pPr>
                                    <w:jc w:val="center"/>
                                    <w:rPr>
                                      <w:b/>
                                      <w:bCs/>
                                      <w:sz w:val="28"/>
                                      <w:szCs w:val="28"/>
                                    </w:rPr>
                                  </w:pPr>
                                  <w:r w:rsidRPr="00BD786D">
                                    <w:rPr>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17442" id="Text Box 2" o:spid="_x0000_s1026" style="position:absolute;left:0;text-align:left;margin-left:133.8pt;margin-top:3.05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7a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4rPuPMio4s&#10;elBDYO9hYEVUp3e+pKJ7d4exP+9uQX73zMK6FXanrhGhb5WoiVMe67MXB2Lg6Sjb9p+hJnCxD5CE&#10;GhrsIiBJwIbkx+PJj0hA0s+8yPP5gmyTlLsoLhbzZFgmyufTDn34qKBjcVNxJL8Tujjc+hDZiPK5&#10;JLEHo+uNNiYFuNuuDbKDoNnYpC81QE2elxnL+opfzot5Qn6R8+cQ0/T9DaLTgYbc6K7ii1ORKKNs&#10;H2ydRjAIbcY9UTb2qGOUbrQgDNvh6MYW6kdSFGEcZnp8tGkBf3LW0yBX3P/YC1ScmU+WXLnMZ7M4&#10;+SmYzd8VFOB5ZnueEVYSVMUDZ+N2HcbXsneody3dlCcZLFyTk41OIkeXR1ZH3jSsSfvjw4qv4TxO&#10;Vb+e/+oJAAD//wMAUEsDBBQABgAIAAAAIQAW41vq3gAAAAgBAAAPAAAAZHJzL2Rvd25yZXYueG1s&#10;TI9BT4NAFITvJv6HzTPxZhewpRVZGqOpiceWXrw92Ceg7FvCLi36692e9DiZycw3+XY2vTjR6DrL&#10;CuJFBIK4trrjRsGx3N1tQDiPrLG3TAq+ycG2uL7KMdP2zHs6HXwjQgm7DBW03g+ZlK5uyaBb2IE4&#10;eB92NOiDHBupRzyHctPLJIpSabDjsNDiQM8t1V+HySiouuSIP/vyNTIPu3v/Npef0/uLUrc389Mj&#10;CE+z/wvDBT+gQxGYKjuxdqJXkKTrNEQVpDGI4C9XmyWISsFqHYMscvn/QPELAAD//wMAUEsBAi0A&#10;FAAGAAgAAAAhALaDOJL+AAAA4QEAABMAAAAAAAAAAAAAAAAAAAAAAFtDb250ZW50X1R5cGVzXS54&#10;bWxQSwECLQAUAAYACAAAACEAOP0h/9YAAACUAQAACwAAAAAAAAAAAAAAAAAvAQAAX3JlbHMvLnJl&#10;bHNQSwECLQAUAAYACAAAACEALRw+2iYCAABGBAAADgAAAAAAAAAAAAAAAAAuAgAAZHJzL2Uyb0Rv&#10;Yy54bWxQSwECLQAUAAYACAAAACEAFuNb6t4AAAAIAQAADwAAAAAAAAAAAAAAAACABAAAZHJzL2Rv&#10;d25yZXYueG1sUEsFBgAAAAAEAAQA8wAAAIsFAAAAAA==&#10;">
                      <v:textbox>
                        <w:txbxContent>
                          <w:p w:rsidR="00D954D9" w:rsidRPr="00BD786D" w:rsidRDefault="00D954D9" w:rsidP="00D954D9">
                            <w:pPr>
                              <w:jc w:val="center"/>
                              <w:rPr>
                                <w:b/>
                                <w:bCs/>
                                <w:sz w:val="28"/>
                                <w:szCs w:val="28"/>
                              </w:rPr>
                            </w:pPr>
                            <w:r w:rsidRPr="00BD786D">
                              <w:rPr>
                                <w:b/>
                                <w:bCs/>
                                <w:sz w:val="28"/>
                                <w:szCs w:val="28"/>
                              </w:rPr>
                              <w:t>Dự thảo</w:t>
                            </w:r>
                          </w:p>
                        </w:txbxContent>
                      </v:textbox>
                    </v:rect>
                  </w:pict>
                </mc:Fallback>
              </mc:AlternateContent>
            </w:r>
          </w:p>
        </w:tc>
        <w:tc>
          <w:tcPr>
            <w:tcW w:w="7682" w:type="dxa"/>
            <w:tcBorders>
              <w:top w:val="nil"/>
              <w:left w:val="nil"/>
              <w:bottom w:val="nil"/>
              <w:right w:val="nil"/>
            </w:tcBorders>
            <w:tcMar>
              <w:top w:w="80" w:type="dxa"/>
              <w:left w:w="90" w:type="dxa"/>
              <w:bottom w:w="80" w:type="dxa"/>
              <w:right w:w="90" w:type="dxa"/>
            </w:tcMar>
          </w:tcPr>
          <w:p w:rsidR="00D954D9" w:rsidRPr="00B80E31" w:rsidRDefault="00D954D9" w:rsidP="00194E28">
            <w:pPr>
              <w:jc w:val="center"/>
              <w:rPr>
                <w:rFonts w:cs="Times New Roman"/>
                <w:i/>
              </w:rPr>
            </w:pPr>
            <w:r w:rsidRPr="00B80E31">
              <w:rPr>
                <w:rFonts w:cs="Times New Roman"/>
                <w:i/>
              </w:rPr>
              <w:t xml:space="preserve">Thành phố Hồ Chí Minh, ngày </w:t>
            </w:r>
            <w:r>
              <w:rPr>
                <w:rFonts w:cs="Times New Roman"/>
                <w:i/>
              </w:rPr>
              <w:t xml:space="preserve">  </w:t>
            </w:r>
            <w:r w:rsidRPr="00B80E31">
              <w:rPr>
                <w:rFonts w:cs="Times New Roman"/>
                <w:i/>
              </w:rPr>
              <w:t xml:space="preserve">    tháng    </w:t>
            </w:r>
            <w:r>
              <w:rPr>
                <w:rFonts w:cs="Times New Roman"/>
                <w:i/>
              </w:rPr>
              <w:t xml:space="preserve">  </w:t>
            </w:r>
            <w:r w:rsidRPr="00B80E31">
              <w:rPr>
                <w:rFonts w:cs="Times New Roman"/>
                <w:i/>
              </w:rPr>
              <w:t xml:space="preserve"> năm 2026</w:t>
            </w:r>
          </w:p>
        </w:tc>
      </w:tr>
    </w:tbl>
    <w:p w:rsidR="002B35EB" w:rsidRPr="00563D00" w:rsidRDefault="00BA0D19" w:rsidP="00563D00">
      <w:pPr>
        <w:spacing w:after="0"/>
        <w:jc w:val="center"/>
        <w:rPr>
          <w:sz w:val="28"/>
          <w:szCs w:val="28"/>
        </w:rPr>
      </w:pPr>
      <w:r>
        <w:rPr>
          <w:b/>
          <w:sz w:val="23"/>
        </w:rPr>
        <w:t>BẢNG TỔNG HỢP Ý KIẾN, TIẾP THU, GIẢI TRÌNH Ý KIẾN GÓP Ý ĐỐI VỚI</w:t>
      </w:r>
      <w:r>
        <w:rPr>
          <w:b/>
          <w:sz w:val="23"/>
        </w:rPr>
        <w:br/>
        <w:t>DỰ THẢO QUYẾT ĐỊNH BAN HÀNH QUY ĐỊNH YÊU CẦU, ĐIỀU KIỆN, HỒ SƠ QUẢN LÝ,</w:t>
      </w:r>
      <w:r>
        <w:rPr>
          <w:b/>
          <w:sz w:val="23"/>
        </w:rPr>
        <w:br/>
        <w:t>BIỆN PHÁP BẢO VỆ, BẢO QUẢN, TU BỔ, PHỤC HỒI DI TÍCH, CẢI TẠO CÔNG TRÌNH</w:t>
      </w:r>
      <w:r>
        <w:rPr>
          <w:b/>
          <w:sz w:val="23"/>
        </w:rPr>
        <w:br/>
        <w:t>KIẾN TRÚC CÓ GIÁ TRỊ TRÊN ĐỊA BÀN THÀNH PHỐ HỒ CHÍ MINH</w:t>
      </w:r>
    </w:p>
    <w:p w:rsidR="002B35EB" w:rsidRPr="00D954D9" w:rsidRDefault="00BA0D19" w:rsidP="0017174B">
      <w:pPr>
        <w:spacing w:after="0"/>
        <w:ind w:firstLine="454"/>
        <w:jc w:val="both"/>
        <w:rPr>
          <w:sz w:val="40"/>
          <w:szCs w:val="28"/>
        </w:rPr>
      </w:pPr>
      <w:r w:rsidRPr="00D954D9">
        <w:rPr>
          <w:sz w:val="28"/>
        </w:rPr>
        <w:t>Căn cứ Luật Ban hành văn bản quy phạm pháp luật, Sở Văn hóa và Thể thao là cơ quan chủ trì soạn thảo đã tổ chức lấy ý kiến góp ý đối với hồ sơ dự thảo Quyết định của Ủy ban nhân dân Thành phố ban hành Quy định yêu cầu, điều kiện, hồ sơ quản lý, biện pháp bảo vệ, bảo quản, tu bổ, phục hồi di tích, cải tạo công trình kiến trúc có giá trị trên địa bàn Thành phố Hồ Chí Minh.</w:t>
      </w:r>
    </w:p>
    <w:p w:rsidR="002B35EB" w:rsidRPr="00D954D9" w:rsidRDefault="00BA0D19" w:rsidP="0017174B">
      <w:pPr>
        <w:spacing w:after="0"/>
        <w:ind w:firstLine="567"/>
        <w:jc w:val="both"/>
        <w:rPr>
          <w:sz w:val="40"/>
          <w:szCs w:val="28"/>
        </w:rPr>
      </w:pPr>
      <w:r w:rsidRPr="00D954D9">
        <w:rPr>
          <w:b/>
          <w:sz w:val="28"/>
        </w:rPr>
        <w:t>1. Tổng số cơ quan, tổ chức, cá nhân đã gửi xin ý kiến và tổng số ý kiến nhận được</w:t>
      </w:r>
    </w:p>
    <w:p w:rsidR="002B35EB" w:rsidRPr="00D954D9" w:rsidRDefault="00BE0356" w:rsidP="0017174B">
      <w:pPr>
        <w:spacing w:after="0"/>
        <w:ind w:firstLine="454"/>
        <w:jc w:val="both"/>
        <w:rPr>
          <w:color w:val="FF0000"/>
          <w:sz w:val="40"/>
          <w:szCs w:val="28"/>
        </w:rPr>
      </w:pPr>
      <w:r w:rsidRPr="00D954D9">
        <w:rPr>
          <w:sz w:val="28"/>
        </w:rPr>
        <w:t>Thời gian qua, Sở Văn hóa và Thể thao đã thực hiện việc lấy ý kiến góp ý đối với hồ sơ dự thảo Quyết định; đến ngày 27 tháng 8 năm 2026, Sở Văn hóa và Thể thao đã nhận được 97 ý kiến của các cơ quan, đơn vị. Trong đó 89 ý kiến thống nhất với hồ sơ dự thảo, không có ý kiến góp ý bổ sung; 08 ý kiến có nội dung cần tổng hợp, tiếp thu, giải trình cụ thể.</w:t>
      </w:r>
    </w:p>
    <w:p w:rsidR="002B35EB" w:rsidRPr="00D954D9" w:rsidRDefault="00BA0D19" w:rsidP="0017174B">
      <w:pPr>
        <w:spacing w:after="0"/>
        <w:ind w:firstLine="567"/>
        <w:jc w:val="both"/>
        <w:rPr>
          <w:sz w:val="40"/>
          <w:szCs w:val="28"/>
        </w:rPr>
      </w:pPr>
      <w:r w:rsidRPr="00D954D9">
        <w:rPr>
          <w:b/>
          <w:sz w:val="28"/>
        </w:rPr>
        <w:t>2. Kết quả cụ thể như sau:</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674"/>
        <w:gridCol w:w="5085"/>
        <w:gridCol w:w="2957"/>
      </w:tblGrid>
      <w:tr w:rsidR="002B35EB" w:rsidRPr="00D954D9" w:rsidTr="0017174B">
        <w:trPr>
          <w:tblHeader/>
        </w:trPr>
        <w:tc>
          <w:tcPr>
            <w:tcW w:w="2313" w:type="dxa"/>
            <w:shd w:val="clear" w:color="auto" w:fill="D9EAF7"/>
            <w:tcMar>
              <w:top w:w="80" w:type="dxa"/>
              <w:left w:w="80" w:type="dxa"/>
              <w:bottom w:w="80" w:type="dxa"/>
              <w:right w:w="80" w:type="dxa"/>
            </w:tcMar>
          </w:tcPr>
          <w:p w:rsidR="002B35EB" w:rsidRPr="00D954D9" w:rsidRDefault="00BA0D19" w:rsidP="0017174B">
            <w:pPr>
              <w:spacing w:after="0" w:line="240" w:lineRule="auto"/>
              <w:jc w:val="center"/>
              <w:rPr>
                <w:rFonts w:cs="Times New Roman"/>
                <w:sz w:val="26"/>
                <w:szCs w:val="26"/>
              </w:rPr>
            </w:pPr>
            <w:r w:rsidRPr="00D954D9">
              <w:rPr>
                <w:rFonts w:cs="Times New Roman"/>
                <w:b/>
                <w:sz w:val="26"/>
                <w:szCs w:val="26"/>
              </w:rPr>
              <w:t>CHÍNH SÁCH HOẶC NHÓM VẤN ĐỀ, ĐIỀU, KHOẢN</w:t>
            </w:r>
          </w:p>
        </w:tc>
        <w:tc>
          <w:tcPr>
            <w:tcW w:w="3674" w:type="dxa"/>
            <w:shd w:val="clear" w:color="auto" w:fill="D9EAF7"/>
            <w:tcMar>
              <w:top w:w="80" w:type="dxa"/>
              <w:left w:w="80" w:type="dxa"/>
              <w:bottom w:w="80" w:type="dxa"/>
              <w:right w:w="80" w:type="dxa"/>
            </w:tcMar>
          </w:tcPr>
          <w:p w:rsidR="002B35EB" w:rsidRPr="00D954D9" w:rsidRDefault="00BA0D19" w:rsidP="0017174B">
            <w:pPr>
              <w:spacing w:after="0" w:line="240" w:lineRule="auto"/>
              <w:jc w:val="center"/>
              <w:rPr>
                <w:rFonts w:cs="Times New Roman"/>
                <w:sz w:val="26"/>
                <w:szCs w:val="26"/>
              </w:rPr>
            </w:pPr>
            <w:r w:rsidRPr="00D954D9">
              <w:rPr>
                <w:rFonts w:cs="Times New Roman"/>
                <w:b/>
                <w:sz w:val="26"/>
                <w:szCs w:val="26"/>
              </w:rPr>
              <w:t>CHỦ THỂ GÓP Ý</w:t>
            </w:r>
          </w:p>
        </w:tc>
        <w:tc>
          <w:tcPr>
            <w:tcW w:w="5085" w:type="dxa"/>
            <w:shd w:val="clear" w:color="auto" w:fill="D9EAF7"/>
            <w:tcMar>
              <w:top w:w="80" w:type="dxa"/>
              <w:left w:w="80" w:type="dxa"/>
              <w:bottom w:w="80" w:type="dxa"/>
              <w:right w:w="80" w:type="dxa"/>
            </w:tcMar>
          </w:tcPr>
          <w:p w:rsidR="002B35EB" w:rsidRPr="00D954D9" w:rsidRDefault="00BA0D19" w:rsidP="0017174B">
            <w:pPr>
              <w:spacing w:after="0" w:line="240" w:lineRule="auto"/>
              <w:jc w:val="center"/>
              <w:rPr>
                <w:rFonts w:cs="Times New Roman"/>
                <w:sz w:val="26"/>
                <w:szCs w:val="26"/>
              </w:rPr>
            </w:pPr>
            <w:r w:rsidRPr="00D954D9">
              <w:rPr>
                <w:rFonts w:cs="Times New Roman"/>
                <w:b/>
                <w:sz w:val="26"/>
                <w:szCs w:val="26"/>
              </w:rPr>
              <w:t>NỘI DUNG GÓP Ý</w:t>
            </w:r>
          </w:p>
        </w:tc>
        <w:tc>
          <w:tcPr>
            <w:tcW w:w="2957" w:type="dxa"/>
            <w:shd w:val="clear" w:color="auto" w:fill="D9EAF7"/>
            <w:tcMar>
              <w:top w:w="80" w:type="dxa"/>
              <w:left w:w="80" w:type="dxa"/>
              <w:bottom w:w="80" w:type="dxa"/>
              <w:right w:w="80" w:type="dxa"/>
            </w:tcMar>
          </w:tcPr>
          <w:p w:rsidR="002B35EB" w:rsidRPr="00D954D9" w:rsidRDefault="00BA0D19" w:rsidP="0017174B">
            <w:pPr>
              <w:spacing w:after="0" w:line="240" w:lineRule="auto"/>
              <w:jc w:val="center"/>
              <w:rPr>
                <w:rFonts w:cs="Times New Roman"/>
                <w:sz w:val="26"/>
                <w:szCs w:val="26"/>
              </w:rPr>
            </w:pPr>
            <w:r w:rsidRPr="00D954D9">
              <w:rPr>
                <w:rFonts w:cs="Times New Roman"/>
                <w:b/>
                <w:sz w:val="26"/>
                <w:szCs w:val="26"/>
              </w:rPr>
              <w:t>NỘI DUNG TIẾP THU, GIẢI TRÌNH</w:t>
            </w:r>
          </w:p>
        </w:tc>
      </w:tr>
      <w:tr w:rsidR="002B35EB" w:rsidRPr="00D954D9" w:rsidTr="0017174B">
        <w:tc>
          <w:tcPr>
            <w:tcW w:w="14029" w:type="dxa"/>
            <w:gridSpan w:val="4"/>
            <w:shd w:val="clear" w:color="auto" w:fill="D9EAF7"/>
            <w:tcMar>
              <w:top w:w="80" w:type="dxa"/>
              <w:left w:w="80" w:type="dxa"/>
              <w:bottom w:w="80" w:type="dxa"/>
              <w:right w:w="80" w:type="dxa"/>
            </w:tcMar>
          </w:tcPr>
          <w:p w:rsidR="002B35EB" w:rsidRPr="00D954D9" w:rsidRDefault="00BA0D19">
            <w:pPr>
              <w:spacing w:after="0" w:line="240" w:lineRule="auto"/>
              <w:jc w:val="center"/>
              <w:rPr>
                <w:rFonts w:cs="Times New Roman"/>
                <w:sz w:val="26"/>
                <w:szCs w:val="26"/>
              </w:rPr>
            </w:pPr>
            <w:bookmarkStart w:id="0" w:name="_GoBack"/>
            <w:bookmarkEnd w:id="0"/>
            <w:r w:rsidRPr="00D954D9">
              <w:rPr>
                <w:rFonts w:cs="Times New Roman"/>
                <w:b/>
                <w:sz w:val="26"/>
                <w:szCs w:val="26"/>
              </w:rPr>
              <w:t>I. Ý kiến thống nhất với hồ sơ dự thảo</w:t>
            </w:r>
          </w:p>
        </w:tc>
      </w:tr>
      <w:tr w:rsidR="002B35EB" w:rsidRPr="00D954D9" w:rsidTr="0017174B">
        <w:trPr>
          <w:cantSplit/>
        </w:trPr>
        <w:tc>
          <w:tcPr>
            <w:tcW w:w="2313" w:type="dxa"/>
            <w:tcMar>
              <w:top w:w="80" w:type="dxa"/>
              <w:left w:w="80" w:type="dxa"/>
              <w:bottom w:w="80" w:type="dxa"/>
              <w:right w:w="80" w:type="dxa"/>
            </w:tcMar>
          </w:tcPr>
          <w:p w:rsidR="002B35EB" w:rsidRPr="00D954D9" w:rsidRDefault="00DD534A" w:rsidP="0017174B">
            <w:pPr>
              <w:spacing w:after="0" w:line="240" w:lineRule="auto"/>
              <w:jc w:val="both"/>
              <w:rPr>
                <w:rFonts w:cs="Times New Roman"/>
                <w:sz w:val="26"/>
                <w:szCs w:val="26"/>
              </w:rPr>
            </w:pPr>
            <w:r w:rsidRPr="00D954D9">
              <w:rPr>
                <w:rFonts w:cs="Times New Roman"/>
                <w:b/>
                <w:sz w:val="26"/>
                <w:szCs w:val="26"/>
              </w:rPr>
              <w:t>Hồ sơ dự thảo Quyết định</w:t>
            </w:r>
          </w:p>
        </w:tc>
        <w:tc>
          <w:tcPr>
            <w:tcW w:w="3674" w:type="dxa"/>
            <w:tcMar>
              <w:top w:w="80" w:type="dxa"/>
              <w:left w:w="80" w:type="dxa"/>
              <w:bottom w:w="80" w:type="dxa"/>
              <w:right w:w="80" w:type="dxa"/>
            </w:tcMar>
          </w:tcPr>
          <w:p w:rsidR="002B35EB" w:rsidRPr="00D954D9" w:rsidRDefault="00BA0D19" w:rsidP="0017174B">
            <w:pPr>
              <w:spacing w:after="0" w:line="240" w:lineRule="auto"/>
              <w:jc w:val="both"/>
              <w:rPr>
                <w:rFonts w:cs="Times New Roman"/>
                <w:sz w:val="26"/>
                <w:szCs w:val="26"/>
              </w:rPr>
            </w:pPr>
            <w:r w:rsidRPr="00D954D9">
              <w:rPr>
                <w:rFonts w:cs="Times New Roman"/>
                <w:sz w:val="26"/>
                <w:szCs w:val="26"/>
              </w:rPr>
              <w:t>Nhóm sở, ngành, cơ quan cấp Thành phố (04 đơn vị):</w:t>
            </w:r>
          </w:p>
          <w:p w:rsidR="005807F3" w:rsidRPr="00D954D9" w:rsidRDefault="00ED2EE3">
            <w:pPr>
              <w:spacing w:after="0" w:line="240" w:lineRule="auto"/>
              <w:jc w:val="both"/>
              <w:rPr>
                <w:rFonts w:cs="Times New Roman"/>
                <w:sz w:val="26"/>
                <w:szCs w:val="26"/>
              </w:rPr>
            </w:pPr>
            <w:r w:rsidRPr="00D954D9">
              <w:rPr>
                <w:rFonts w:cs="Times New Roman"/>
                <w:sz w:val="26"/>
                <w:szCs w:val="26"/>
              </w:rPr>
              <w:t>Công an Thành phố;</w:t>
            </w:r>
            <w:r w:rsidRPr="00D954D9">
              <w:rPr>
                <w:rFonts w:cs="Times New Roman"/>
                <w:sz w:val="26"/>
                <w:szCs w:val="26"/>
              </w:rPr>
              <w:t xml:space="preserve"> Sở Du lịch; Sở Nội vụ; Sở Xây dựng.</w:t>
            </w:r>
          </w:p>
        </w:tc>
        <w:tc>
          <w:tcPr>
            <w:tcW w:w="5085" w:type="dxa"/>
            <w:tcMar>
              <w:top w:w="80" w:type="dxa"/>
              <w:left w:w="80" w:type="dxa"/>
              <w:bottom w:w="80" w:type="dxa"/>
              <w:right w:w="80" w:type="dxa"/>
            </w:tcMar>
          </w:tcPr>
          <w:p w:rsidR="002B35EB" w:rsidRPr="00D954D9" w:rsidRDefault="00BA0D19" w:rsidP="0017174B">
            <w:pPr>
              <w:spacing w:after="0" w:line="240" w:lineRule="auto"/>
              <w:jc w:val="both"/>
              <w:rPr>
                <w:rFonts w:cs="Times New Roman"/>
                <w:sz w:val="26"/>
                <w:szCs w:val="26"/>
              </w:rPr>
            </w:pPr>
            <w:r w:rsidRPr="00D954D9">
              <w:rPr>
                <w:rFonts w:cs="Times New Roman"/>
                <w:sz w:val="26"/>
                <w:szCs w:val="26"/>
              </w:rPr>
              <w:t>Thống nhất với hồ sơ dự thảo; không có ý kiến góp ý bổ sung.</w:t>
            </w:r>
          </w:p>
        </w:tc>
        <w:tc>
          <w:tcPr>
            <w:tcW w:w="2957" w:type="dxa"/>
            <w:tcMar>
              <w:top w:w="80" w:type="dxa"/>
              <w:left w:w="80" w:type="dxa"/>
              <w:bottom w:w="80" w:type="dxa"/>
              <w:right w:w="80" w:type="dxa"/>
            </w:tcMar>
          </w:tcPr>
          <w:p w:rsidR="002B35EB" w:rsidRPr="00D954D9" w:rsidRDefault="00DD534A" w:rsidP="0017174B">
            <w:pPr>
              <w:spacing w:after="0" w:line="240" w:lineRule="auto"/>
              <w:jc w:val="both"/>
              <w:rPr>
                <w:rFonts w:cs="Times New Roman"/>
                <w:sz w:val="26"/>
                <w:szCs w:val="26"/>
              </w:rPr>
            </w:pPr>
            <w:r w:rsidRPr="00D954D9">
              <w:rPr>
                <w:rFonts w:cs="Times New Roman"/>
                <w:sz w:val="26"/>
                <w:szCs w:val="26"/>
              </w:rPr>
              <w:t>Sở Văn hóa và Thể thao tiếp thu ý kiến.</w:t>
            </w:r>
          </w:p>
        </w:tc>
      </w:tr>
      <w:tr w:rsidR="002B35EB" w:rsidRPr="00D954D9" w:rsidTr="0017174B">
        <w:tc>
          <w:tcPr>
            <w:tcW w:w="2313" w:type="dxa"/>
            <w:tcMar>
              <w:top w:w="80" w:type="dxa"/>
              <w:left w:w="80" w:type="dxa"/>
              <w:bottom w:w="80" w:type="dxa"/>
              <w:right w:w="80" w:type="dxa"/>
            </w:tcMar>
          </w:tcPr>
          <w:p w:rsidR="002B35EB" w:rsidRPr="00D954D9" w:rsidRDefault="00DD534A" w:rsidP="0017174B">
            <w:pPr>
              <w:spacing w:after="0" w:line="240" w:lineRule="auto"/>
              <w:jc w:val="both"/>
              <w:rPr>
                <w:rFonts w:cs="Times New Roman"/>
                <w:sz w:val="26"/>
                <w:szCs w:val="26"/>
              </w:rPr>
            </w:pPr>
            <w:r w:rsidRPr="00D954D9">
              <w:rPr>
                <w:rFonts w:cs="Times New Roman"/>
                <w:b/>
                <w:sz w:val="26"/>
                <w:szCs w:val="26"/>
              </w:rPr>
              <w:lastRenderedPageBreak/>
              <w:t>Hồ sơ dự thảo Quyết định</w:t>
            </w:r>
          </w:p>
        </w:tc>
        <w:tc>
          <w:tcPr>
            <w:tcW w:w="3674" w:type="dxa"/>
            <w:tcMar>
              <w:top w:w="80" w:type="dxa"/>
              <w:left w:w="80" w:type="dxa"/>
              <w:bottom w:w="80" w:type="dxa"/>
              <w:right w:w="80" w:type="dxa"/>
            </w:tcMar>
          </w:tcPr>
          <w:p w:rsidR="002B35EB" w:rsidRPr="00D954D9" w:rsidRDefault="00BA0D19" w:rsidP="0017174B">
            <w:pPr>
              <w:spacing w:after="0" w:line="240" w:lineRule="auto"/>
              <w:jc w:val="both"/>
              <w:rPr>
                <w:rFonts w:cs="Times New Roman"/>
                <w:sz w:val="26"/>
                <w:szCs w:val="26"/>
              </w:rPr>
            </w:pPr>
            <w:r w:rsidRPr="00D954D9">
              <w:rPr>
                <w:rFonts w:cs="Times New Roman"/>
                <w:sz w:val="26"/>
                <w:szCs w:val="26"/>
              </w:rPr>
              <w:t>Ý kiến của Ủy ban nhân dân phường, xã và Phòng Văn hóa - Xã hội phường, xã (85 đơn vị):</w:t>
            </w:r>
          </w:p>
          <w:p w:rsidR="005807F3" w:rsidRPr="00D954D9" w:rsidRDefault="00ED2EE3">
            <w:pPr>
              <w:spacing w:after="0" w:line="240" w:lineRule="auto"/>
              <w:jc w:val="both"/>
              <w:rPr>
                <w:rFonts w:cs="Times New Roman"/>
                <w:sz w:val="26"/>
                <w:szCs w:val="26"/>
              </w:rPr>
            </w:pPr>
            <w:r w:rsidRPr="00D954D9">
              <w:rPr>
                <w:rFonts w:cs="Times New Roman"/>
                <w:sz w:val="26"/>
                <w:szCs w:val="26"/>
              </w:rPr>
              <w:t>Ủy b</w:t>
            </w:r>
            <w:r w:rsidRPr="00D954D9">
              <w:rPr>
                <w:rFonts w:cs="Times New Roman"/>
                <w:sz w:val="26"/>
                <w:szCs w:val="26"/>
              </w:rPr>
              <w:t>an nhân dân phường Hòa Lợi; Ủy ban nhân dân phường Bình Dương; Phòng Văn hóa - Xã hội xã Hiệp Phước; Ủy ban nhân dân phường Xuân Hòa; Ủy ban nhân dân xã Bắc Tân Uyên; Ủy ban nhân dân xã Long Hòa; Ủy ban nhân dân xã Đất Đỏ; Phòng Văn hóa - Xã hội xã Bình Gi</w:t>
            </w:r>
            <w:r w:rsidRPr="00D954D9">
              <w:rPr>
                <w:rFonts w:cs="Times New Roman"/>
                <w:sz w:val="26"/>
                <w:szCs w:val="26"/>
              </w:rPr>
              <w:t>ã; Ủy ban nhân dân phường An Hội Tây; Ủy ban nhân dân xã Bàu Bàng; Ủy ban nhân dân phường Tân Thành; Ủy ban nhân dân xã Minh Thạnh; Phòng Văn hóa - Xã hội phường Tân Bình; Ủy ban nhân dân phường Tam Bình; Ủy ban nhân dân xã Vĩnh Lộc; Ủy ban nhân dân xã Châ</w:t>
            </w:r>
            <w:r w:rsidRPr="00D954D9">
              <w:rPr>
                <w:rFonts w:cs="Times New Roman"/>
                <w:sz w:val="26"/>
                <w:szCs w:val="26"/>
              </w:rPr>
              <w:t xml:space="preserve">u Đức; Ủy ban nhân dân phường Thới Hòa; Ủy ban nhân dân xã Tân An Hội; Ủy ban nhân dân phường Chợ Lớn; Ủy ban nhân dân phường Tây Thạnh; Ủy ban nhân dân phường Dĩ An; Phòng Văn hóa - Xã hội phường Hạnh Thông; Ủy </w:t>
            </w:r>
            <w:r w:rsidRPr="00D954D9">
              <w:rPr>
                <w:rFonts w:cs="Times New Roman"/>
                <w:sz w:val="26"/>
                <w:szCs w:val="26"/>
              </w:rPr>
              <w:lastRenderedPageBreak/>
              <w:t>ban nhân dân phường Khánh Hội; Ủy ban nhân d</w:t>
            </w:r>
            <w:r w:rsidRPr="00D954D9">
              <w:rPr>
                <w:rFonts w:cs="Times New Roman"/>
                <w:sz w:val="26"/>
                <w:szCs w:val="26"/>
              </w:rPr>
              <w:t>ân xã Thường Tân; Ủy ban nhân dân xã Hóc Môn; Ủy ban nhân dân phường Cầu Ông Lãnh; Ủy ban nhân dân phường Tân Thới Hiệp; Ủy ban nhân dân phường An Nhơn; Phòng Văn hóa - Xã hội phường Tân Hòa; Ủy ban nhân dân xã Thái Mỹ; Ủy ban nhân dân phường Tăng Nhơn Phú</w:t>
            </w:r>
            <w:r w:rsidRPr="00D954D9">
              <w:rPr>
                <w:rFonts w:cs="Times New Roman"/>
                <w:sz w:val="26"/>
                <w:szCs w:val="26"/>
              </w:rPr>
              <w:t>; Ủy ban nhân dân phường Tân Tạo; Ủy ban nhân dân phường Phú An; Ủy ban nhân dân phường An Đông; Ủy ban nhân dân phường An Khánh; Ủy ban nhân dân phường Thủ Đức; Ủy ban nhân dân phường Phú Thuận; Ủy ban nhân dân phường Vườn Lài; Ủy ban nhân dân phường Bình</w:t>
            </w:r>
            <w:r w:rsidRPr="00D954D9">
              <w:rPr>
                <w:rFonts w:cs="Times New Roman"/>
                <w:sz w:val="26"/>
                <w:szCs w:val="26"/>
              </w:rPr>
              <w:t xml:space="preserve"> Cơ; Ủy ban nhân dân phường Trung Mỹ Tây; Ủy ban nhân dân phường Xóm Chiếu; Ủy ban nhân dân xã Long Hải; Ủy ban nhân dân phường Long Nguyên; Ủy ban nhân dân xã Bình Chánh; Phòng Văn hóa - Xã hội phường Tân Phú; Ủy ban nhân dân phường An Phú; Phòng Văn </w:t>
            </w:r>
            <w:r w:rsidRPr="00D954D9">
              <w:rPr>
                <w:rFonts w:cs="Times New Roman"/>
                <w:sz w:val="26"/>
                <w:szCs w:val="26"/>
              </w:rPr>
              <w:lastRenderedPageBreak/>
              <w:t xml:space="preserve">hóa </w:t>
            </w:r>
            <w:r w:rsidRPr="00D954D9">
              <w:rPr>
                <w:rFonts w:cs="Times New Roman"/>
                <w:sz w:val="26"/>
                <w:szCs w:val="26"/>
              </w:rPr>
              <w:t xml:space="preserve">- Xã hội phường Tân Định; Ủy ban nhân dân xã Phú Giáo; Ủy ban nhân dân phường Tân Mỹ; Ủy ban nhân dân xã Nhuận Đức; Ủy ban nhân dân xã Xuân Thới Sơn; Ủy ban nhân dân xã Phước Hải; Ủy ban nhân dân xã Tân Vĩnh Lộc; Phòng Văn hóa - Xã hội phường Bình Phú; Ủy </w:t>
            </w:r>
            <w:r w:rsidRPr="00D954D9">
              <w:rPr>
                <w:rFonts w:cs="Times New Roman"/>
                <w:sz w:val="26"/>
                <w:szCs w:val="26"/>
              </w:rPr>
              <w:t>ban nhân dân phường Chánh Hưng; Ủy ban nhân dân xã Long Sơn; Ủy ban nhân dân phường Bình Tiên; Ủy ban nhân dân phường Bến Cát; Ủy ban nhân dân phường Chợ Quán; Ủy ban nhân dân phường Bình Hòa; Ủy ban nhân dân phường Long Phước; Ủy ban nhân dân phường Thuận</w:t>
            </w:r>
            <w:r w:rsidRPr="00D954D9">
              <w:rPr>
                <w:rFonts w:cs="Times New Roman"/>
                <w:sz w:val="26"/>
                <w:szCs w:val="26"/>
              </w:rPr>
              <w:t xml:space="preserve"> Giao; Ủy ban nhân dân xã Kim Long; Ủy ban nhân dân phường Vĩnh Hội; Phòng Văn hóa - Xã hội phường Phú Thọ; Ủy ban nhân dân phường Thạnh Mỹ Tây; Ủy ban nhân dân xã Bình Mỹ; Ủy ban nhân dân phường Bình Tân; Ủy ban nhân dân phường Tân Hiệp; Ủy ban nhân dân x</w:t>
            </w:r>
            <w:r w:rsidRPr="00D954D9">
              <w:rPr>
                <w:rFonts w:cs="Times New Roman"/>
                <w:sz w:val="26"/>
                <w:szCs w:val="26"/>
              </w:rPr>
              <w:t xml:space="preserve">ã Long Điền; Ủy ban nhân dân phường Long </w:t>
            </w:r>
            <w:r w:rsidRPr="00D954D9">
              <w:rPr>
                <w:rFonts w:cs="Times New Roman"/>
                <w:sz w:val="26"/>
                <w:szCs w:val="26"/>
              </w:rPr>
              <w:lastRenderedPageBreak/>
              <w:t>Bình; Ủy ban nhân dân xã Xuyên Mộc; Phòng Văn hóa - Xã hội phường Minh Phụng; Phòng Văn hóa - Xã hội phường Bình Lợi Trung; Ủy ban nhân dân xã Thanh An; Ủy ban nhân dân xã An Long; Ủy ban nhân dân phường Bình Trị Đô</w:t>
            </w:r>
            <w:r w:rsidRPr="00D954D9">
              <w:rPr>
                <w:rFonts w:cs="Times New Roman"/>
                <w:sz w:val="26"/>
                <w:szCs w:val="26"/>
              </w:rPr>
              <w:t>ng; Phòng Văn hóa - Xã hội phường Phước Long; Ủy ban nhân dân phường Tây Nam; Ủy ban nhân dân xã Dầu Tiếng; Ủy ban nhân dân phường Long Hương; Phòng Văn hóa - Xã hội phường Bình Thạnh; Ủy ban nhân dân phường Phú Nhuận; Ủy ban nhân dân phường An Phú Đông; Ủ</w:t>
            </w:r>
            <w:r w:rsidRPr="00D954D9">
              <w:rPr>
                <w:rFonts w:cs="Times New Roman"/>
                <w:sz w:val="26"/>
                <w:szCs w:val="26"/>
              </w:rPr>
              <w:t>y ban nhân dân phường Tân Sơn Nhất.</w:t>
            </w:r>
          </w:p>
        </w:tc>
        <w:tc>
          <w:tcPr>
            <w:tcW w:w="5085" w:type="dxa"/>
            <w:tcMar>
              <w:top w:w="80" w:type="dxa"/>
              <w:left w:w="80" w:type="dxa"/>
              <w:bottom w:w="80" w:type="dxa"/>
              <w:right w:w="80" w:type="dxa"/>
            </w:tcMar>
          </w:tcPr>
          <w:p w:rsidR="002B35EB" w:rsidRPr="00D954D9" w:rsidRDefault="00BA0D19" w:rsidP="0017174B">
            <w:pPr>
              <w:spacing w:after="0" w:line="240" w:lineRule="auto"/>
              <w:jc w:val="both"/>
              <w:rPr>
                <w:rFonts w:cs="Times New Roman"/>
                <w:sz w:val="26"/>
                <w:szCs w:val="26"/>
              </w:rPr>
            </w:pPr>
            <w:r w:rsidRPr="00D954D9">
              <w:rPr>
                <w:rFonts w:cs="Times New Roman"/>
                <w:sz w:val="26"/>
                <w:szCs w:val="26"/>
              </w:rPr>
              <w:lastRenderedPageBreak/>
              <w:t>Thống nhất với hồ sơ dự thảo; không có ý kiến góp ý bổ sung.</w:t>
            </w:r>
          </w:p>
        </w:tc>
        <w:tc>
          <w:tcPr>
            <w:tcW w:w="2957" w:type="dxa"/>
            <w:tcMar>
              <w:top w:w="80" w:type="dxa"/>
              <w:left w:w="80" w:type="dxa"/>
              <w:bottom w:w="80" w:type="dxa"/>
              <w:right w:w="80" w:type="dxa"/>
            </w:tcMar>
          </w:tcPr>
          <w:p w:rsidR="002B35EB" w:rsidRPr="00D954D9" w:rsidRDefault="00DD534A" w:rsidP="0017174B">
            <w:pPr>
              <w:spacing w:after="0" w:line="240" w:lineRule="auto"/>
              <w:jc w:val="both"/>
              <w:rPr>
                <w:rFonts w:cs="Times New Roman"/>
                <w:sz w:val="26"/>
                <w:szCs w:val="26"/>
              </w:rPr>
            </w:pPr>
            <w:r w:rsidRPr="00D954D9">
              <w:rPr>
                <w:rFonts w:cs="Times New Roman"/>
                <w:sz w:val="26"/>
                <w:szCs w:val="26"/>
              </w:rPr>
              <w:t>Sở Văn hóa và Thể thao tiếp thu ý kiến.</w:t>
            </w:r>
          </w:p>
        </w:tc>
      </w:tr>
      <w:tr w:rsidR="002B35EB" w:rsidRPr="00D954D9" w:rsidTr="0017174B">
        <w:tc>
          <w:tcPr>
            <w:tcW w:w="14029" w:type="dxa"/>
            <w:gridSpan w:val="4"/>
            <w:shd w:val="clear" w:color="auto" w:fill="D9EAF7"/>
            <w:tcMar>
              <w:top w:w="80" w:type="dxa"/>
              <w:left w:w="80" w:type="dxa"/>
              <w:bottom w:w="80" w:type="dxa"/>
              <w:right w:w="80" w:type="dxa"/>
            </w:tcMar>
          </w:tcPr>
          <w:p w:rsidR="002B35EB" w:rsidRPr="00D954D9" w:rsidRDefault="00BA0D19">
            <w:pPr>
              <w:spacing w:after="0" w:line="240" w:lineRule="auto"/>
              <w:jc w:val="center"/>
              <w:rPr>
                <w:rFonts w:cs="Times New Roman"/>
                <w:sz w:val="26"/>
                <w:szCs w:val="26"/>
              </w:rPr>
            </w:pPr>
            <w:r w:rsidRPr="00D954D9">
              <w:rPr>
                <w:rFonts w:cs="Times New Roman"/>
                <w:b/>
                <w:sz w:val="26"/>
                <w:szCs w:val="26"/>
              </w:rPr>
              <w:lastRenderedPageBreak/>
              <w:t>II. Ý kiến góp ý cụ thể và nội dung tiếp thu, giải trình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Thành phần hồ sơ - Bản đánh giá việc ứng dụng khoa học, công nghệ, đổi mới sáng tạo và chuyển đổi số</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Khoa học và Công nghệ</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8338/SKHCN-KTPC ngày 21/8/2026)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1. </w:t>
            </w:r>
            <w:r w:rsidRPr="00D954D9">
              <w:rPr>
                <w:rFonts w:cs="Times New Roman"/>
                <w:sz w:val="26"/>
                <w:szCs w:val="26"/>
              </w:rPr>
              <w:t>Sở Khoa học và Công nghệ cho rằng hồ sơ chưa xác định dự thảo có nội dung liên quan đến ứng dụng, thúc đẩy phát triển khoa học, công nghệ, đổi mới sáng tạo và chuyển đổi số và chưa có Bản đánh giá kèm theo.</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Trường hợp xác định dự thảo có nội dung liên quan, đề nghị bổ sung Bản đánh giá theo </w:t>
            </w:r>
            <w:r w:rsidRPr="00D954D9">
              <w:rPr>
                <w:rFonts w:cs="Times New Roman"/>
                <w:i/>
                <w:sz w:val="26"/>
                <w:szCs w:val="26"/>
              </w:rPr>
              <w:t>Mẫu số 06 Phụ lục IV ban hành kèm Nghị định số 187/2025/NĐ-CP</w:t>
            </w:r>
            <w:r w:rsidRPr="00D954D9">
              <w:rPr>
                <w:rFonts w:cs="Times New Roman"/>
                <w:sz w:val="26"/>
                <w:szCs w:val="26"/>
              </w:rPr>
              <w:t xml:space="preserve"> để Sở Khoa học và Công nghệ có ý kiến theo quy định.</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Qua rà soát, dự thảo có các nội dung về hồ sơ điện tử, cơ sở dữ liệu, kết nối, chia sẻ và liên thông dữ liệu tại Điều 13, Điều 32 và các điều có liên quan. Cơ quan soạn thảo bổ sung Bản đánh giá theo đúng Mẫu số 06 Phụ lục IV ban hành kèm Nghị định số 187/2025/NĐ-CP vào thành phần hồ sơ; không bổ sung biểu mẫu khác vào dự thảo Quyết định.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Phần căn cứ, công thức ban hành dự thảo Quyết định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Nông nghiệp và Môi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27935/SNNMT-P</w:t>
            </w:r>
            <w:r w:rsidRPr="00D954D9">
              <w:rPr>
                <w:rFonts w:cs="Times New Roman"/>
                <w:sz w:val="26"/>
                <w:szCs w:val="26"/>
              </w:rPr>
              <w:t>C ngày 25/8/2026)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Đề nghị bổ sung nội dung ý kiến thẩm định của Sở Tư pháp tại Báo cáo số… sau phần “Theo đề nghị của Giám đốc Sở Văn hóa và Thể thao tại Tờ trình số…” để bảo đảm Điều 50 Nghị định số 78/2025/NĐ-CP, được sửa đổi, bổ sung.</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Báo cáo thẩm định của Sở Tư pháp là thành phần hồ sơ và được thực hiện theo trình tự thẩm định; không phải thành phần thể thức của Quyết định. Mẫu số 20 Phụ lục III ban hành kèm Nghị định số 187/2025/NĐ-CP quy định công thức “Theo đề nghị của…; Ủy ban nhân dân ban hành Quyết định…”, không có dòng “ý kiến thẩm định của Sở Tư pháp…”. Dự thảo tiếp tục trình bày theo đúng Mẫu số 20.</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1 của dự thảo Quyết định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Nông nghiệp và Môi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27935/SNNMT-PC ngày 25/8/2026)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Đề nghị bổ sung tên Điều 1 thành “Điều 1. Ban hành quy định” và bổ sung nội dung tương ứng vào Tờ trình.</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Theo Mẫu số 20 Phụ lục III ban hành kèm Nghị định số 187/2025/NĐ-CP, Điều 1 được trình bày trực tiếp theo công thức “Ban hành kèm theo Quyết định này…”, không quy định tên điều “Ban hành quy định”. Việc bổ sung tên điều theo đề nghị sẽ làm khác mẫu bắt buộc; do đó không bổ sung vào dự thảo Quyết định và Tờ trình.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Công thức ban hành dự thảo Quyết định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Long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1940/UBND-VHXH n</w:t>
            </w:r>
            <w:r w:rsidRPr="00D954D9">
              <w:rPr>
                <w:rFonts w:cs="Times New Roman"/>
                <w:sz w:val="26"/>
                <w:szCs w:val="26"/>
              </w:rPr>
              <w:t>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1. </w:t>
            </w:r>
            <w:r w:rsidRPr="00D954D9">
              <w:rPr>
                <w:rFonts w:cs="Times New Roman"/>
                <w:sz w:val="26"/>
                <w:szCs w:val="26"/>
              </w:rPr>
              <w:t>Đề nghị chỉnh câu “Ủy ban nhân dân Thành phố Hồ Chí Minh ban hành Quyết định ban hành Quy định…” thành “Ủy ban nhân dân Thành phố Hồ Chí Minh ban hành Quyết định này.” để tránh lặp từ.</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Mẫu số 20 quy định công thức “Ủy ban nhân dân ban hành Quyết định …(tên gọi của Quyết định)”. Tên gọi của dự thảo là “Quyết định ban hành Quy định…”, nên cách trình bày hiện tại bám đúng cấu trúc mẫu. Không chỉnh thành “ban hành Quyết định này” vì sẽ làm khác công thức của Mẫu số 20.</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Dòng ghi chú dưới tên Quy định ban hành kèm theo</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Long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1940/UBND-VHXH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6. </w:t>
            </w:r>
            <w:r w:rsidRPr="00D954D9">
              <w:rPr>
                <w:rFonts w:cs="Times New Roman"/>
                <w:sz w:val="26"/>
                <w:szCs w:val="26"/>
              </w:rPr>
              <w:t>Đề nghị bổ sung ngày, tháng, năm vào dòng “(Ban hành kèm theo Quyết định số .../2026/QĐ-UBND)”.</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Mẫu số 20 Phụ lục III ban hành kèm Nghị định số 187/2025/NĐ-CP quy định đúng thể thức: “(Ban hành kèm theo Quyết định số.../20.../QĐ-UBND)”, không thể hiện ngày, tháng, năm tại dòng này. Dự thảo hiện trình bày đúng mẫu.</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Cơ sở pháp lý, thẩm quyền và căn cứ ban hành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Tư pháp</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10644/STP-VB ngày 19/8/2026)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1. Về cơ sở pháp lý và thẩm quyền ban hành văn bản</w:t>
            </w:r>
          </w:p>
          <w:p w:rsidR="005807F3" w:rsidRPr="00D954D9" w:rsidRDefault="00ED2EE3">
            <w:pPr>
              <w:spacing w:after="0" w:line="240" w:lineRule="auto"/>
              <w:jc w:val="both"/>
              <w:rPr>
                <w:rFonts w:cs="Times New Roman"/>
                <w:sz w:val="26"/>
                <w:szCs w:val="26"/>
              </w:rPr>
            </w:pPr>
            <w:r w:rsidRPr="00D954D9">
              <w:rPr>
                <w:rFonts w:cs="Times New Roman"/>
                <w:sz w:val="26"/>
                <w:szCs w:val="26"/>
              </w:rPr>
              <w:t>Sở Tư pháp xác định Ủy ban nhân dân Thành phố có thẩm quyền ban hành Quyết định để quy định chi tiết nội dung được giao; đồng thời đề nghị không ghi Luật Ban hành</w:t>
            </w:r>
            <w:r w:rsidRPr="00D954D9">
              <w:rPr>
                <w:rFonts w:cs="Times New Roman"/>
                <w:sz w:val="26"/>
                <w:szCs w:val="26"/>
              </w:rPr>
              <w:t xml:space="preserve"> văn bản quy phạm pháp luật, Nghị định số 78/2025/NĐ-CP và Nghị định số 187/2025/NĐ-CP vào phần căn cứ ban hành vì đây là các văn bản về trình tự, thủ tục xây dựng văn bản.</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Dự thảo xác định đúng thẩm quyền của Ủy ban nhân dân Thành phố và đã lược bỏ Luật Ban hành văn bản quy phạm pháp luật, Nghị định số 78/2025/NĐ-CP, Nghị định số 187/2025/NĐ-CP khỏi phần căn cứ ban hành Quyết định. Trước khi trình ban hành chính thức sẽ cập nhật chính xác số điều, khoản, điểm giao quyền của Luật Phát triển đô thị.</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1 và Điều 6 - phạm vi điều chỉnh, nguyên tắc áp dụng pháp luật chuyên ngành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Tư pháp</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10644/STP-VB ngày 19/8/2026)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b) Về phạm vi điều chỉnh</w:t>
            </w:r>
          </w:p>
          <w:p w:rsidR="005807F3" w:rsidRPr="00D954D9" w:rsidRDefault="00ED2EE3">
            <w:pPr>
              <w:spacing w:after="0" w:line="240" w:lineRule="auto"/>
              <w:jc w:val="both"/>
              <w:rPr>
                <w:rFonts w:cs="Times New Roman"/>
                <w:sz w:val="26"/>
                <w:szCs w:val="26"/>
              </w:rPr>
            </w:pPr>
            <w:r w:rsidRPr="00D954D9">
              <w:rPr>
                <w:rFonts w:cs="Times New Roman"/>
                <w:sz w:val="26"/>
                <w:szCs w:val="26"/>
              </w:rPr>
              <w:t>Đề nghị chuyển các nội dung tại khoản 3, khoản 4 Điều 1 dự thảo về quan hệ áp dụng đối với khu</w:t>
            </w:r>
            <w:r w:rsidRPr="00D954D9">
              <w:rPr>
                <w:rFonts w:cs="Times New Roman"/>
                <w:sz w:val="26"/>
                <w:szCs w:val="26"/>
              </w:rPr>
              <w:t xml:space="preserve"> vực di sản thế giới, vùng đệm và việc không thay thế thẩm quyền, trình tự, thủ tục chuyên ngành sang điều khoản về nguyên tắc.</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Điều 1 hiện chỉ quy định phạm vi điều chỉnh và trường hợp loại trừ đối với di tích, di sản được UNESCO công nhận hoặc ghi danh. Các nội dung mang tính nguyên tắc về quan hệ với pháp luật chuyên ngành đã được chuyển sang Điều 6 “Nguyên tắc áp dụng pháp luật chuyên ngành”.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Điều 3 - Đối tượng quản lý</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Tư pháp</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10644/STP-VB ngày 19/8/2026)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c) Về đối tượng quản lý</w:t>
            </w:r>
          </w:p>
          <w:p w:rsidR="005807F3" w:rsidRPr="00D954D9" w:rsidRDefault="00ED2EE3">
            <w:pPr>
              <w:spacing w:after="0" w:line="240" w:lineRule="auto"/>
              <w:jc w:val="both"/>
              <w:rPr>
                <w:rFonts w:cs="Times New Roman"/>
                <w:sz w:val="26"/>
                <w:szCs w:val="26"/>
              </w:rPr>
            </w:pPr>
            <w:r w:rsidRPr="00D954D9">
              <w:rPr>
                <w:rFonts w:cs="Times New Roman"/>
                <w:sz w:val="26"/>
                <w:szCs w:val="26"/>
              </w:rPr>
              <w:t>Đề nghị rà soát nội dung liên quan Danh mục di sản, khu vực có giá trị văn hóa, lịch sử, công trình kiến trúc, công trình khác có giá trị cần tập trung nguồn lực; nội dung này phù hợp hơn với hồ sơ Nghị quyết riêng của Hội đồng nhân dân Thành phố.</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Điều 3 đã lược bỏ các khoản liên quan Danh mục cần tập trung nguồn lực. Dự thảo hiện chỉ xác định 02 nhóm đối tượng quản lý: di tích đã được xếp hạng, di tích thuộc Danh mục kiểm kê di tích; và công trình kiến trúc có giá trị đã được đánh giá, phân loại, đưa vào danh mục được phê duyệt theo pháp luật về kiến trúc.</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Chương III và Chương IV - các biện pháp bảo vệ, bảo quản, tu bổ, phục hồi di tích và cải tạo công trình kiến trúc có giá trị</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Tư pháp</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10644/STP-VB ngày 19/8/2026)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d) Nội dung khác</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Sở Tư pháp đề nghị bổ sung nội dung thực chất về </w:t>
            </w:r>
            <w:r w:rsidRPr="00D954D9">
              <w:rPr>
                <w:rFonts w:cs="Times New Roman"/>
                <w:b/>
                <w:sz w:val="26"/>
                <w:szCs w:val="26"/>
              </w:rPr>
              <w:t>biện pháp</w:t>
            </w:r>
            <w:r w:rsidRPr="00D954D9">
              <w:rPr>
                <w:rFonts w:cs="Times New Roman"/>
                <w:sz w:val="26"/>
                <w:szCs w:val="26"/>
              </w:rPr>
              <w:t xml:space="preserve"> bảo vệ, bảo quản, tu bổ, phục hồi di tích, cải tạo công trình kiến trúc có giá trị để bảo đảm đầy đủ phạm vi được giao.</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Chương III và Chương IV đã được chỉnh lý theo hướng thể hiện rõ các “biện pháp” tương ứng; đồng thời dẫn chiếu pháp luật chuyên ngành, hồ sơ được phê duyệt và không tạo thêm loại hoạt động, thủ tục hoặc điều kiện mới.</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Điều 4, Điều 35 và Điều 37 - giải thích từ ngữ và kỹ thuật trình bày</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Tư pháp</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(Công văn số </w:t>
            </w:r>
            <w:r w:rsidRPr="00D954D9">
              <w:rPr>
                <w:rFonts w:cs="Times New Roman"/>
                <w:sz w:val="26"/>
                <w:szCs w:val="26"/>
              </w:rPr>
              <w:t>10644/STP-VB ngày 19/8/2026)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e) Về thể thức và kỹ thuật trình bày</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Đề nghị giải thích cụm từ </w:t>
            </w:r>
            <w:r w:rsidRPr="00D954D9">
              <w:rPr>
                <w:rFonts w:cs="Times New Roman"/>
                <w:i/>
                <w:sz w:val="26"/>
                <w:szCs w:val="26"/>
              </w:rPr>
              <w:t>“cấu kiện”</w:t>
            </w:r>
            <w:r w:rsidRPr="00D954D9">
              <w:rPr>
                <w:rFonts w:cs="Times New Roman"/>
                <w:sz w:val="26"/>
                <w:szCs w:val="26"/>
              </w:rPr>
              <w:t>; đổi tên Điều 35 thành “Trách nhiệm của các sở, ban, ngành”; làm rõ đối tượng chủ sở hữu và lĩnh vực của cá nhân hành nghề tại Điều 37.</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Điều 4 đã bổ sung giải thích “cấu kiện”; Điều 35 đã đổi tên thành “Trách nhiệm của các sở, ban, ngành”; Điều 37 đã xác định rõ chủ sở hữu, người sử dụng, tổ chức trực tiếp quản lý di tích, công trình kiến trúc có giá trị và cá nhân hành nghề trong các lĩnh vực kiến trúc, xây dựng, bảo quản, tu bổ, phục hồi di tích.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Cơ sở pháp lý và thời điểm hoàn thiện hồ sơ</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 Về cơ sở pháp lý và thời điểm ban hành: Đề nghị cập nhật đầy đủ nội dung, phạm vi giao quyền của Luật Phát triển đô thị và hệ thống pháp luật có liên quan tại thời điểm trình ban hành.</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ghi nhận. Hồ sơ sẽ được rà soát, cập nhật lần cuối theo Luật Phát triển đô thị và các văn bản pháp luật có hiệu lực tại thời điểm trình, bảo đảm đúng phạm vi giao quyền và các dẫn chiếu pháp lý.</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Chương IV - quan hệ với Quy chế quản lý kiến trúc</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Đề nghị lựa chọn: hoặc thu hẹp Chương IV và dẫn chiếu Quy chế quản lý kiến trúc; hoặc nếu tiếp tục giữ Chương IV thì xác định rõ quan hệ áp dụng, bảo đảm không tạo cơ chế thẩm định, chấp thuận kiến trúc riêng.</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có chọn lọc theo phương án giữ Chương IV. Dự thảo vẫn quy định khung biện pháp bảo vệ, cải tạo để đáp ứng phạm vi Luật giao; Điều 23 đã xác định căn cứ từ quy hoạch, quy chế quản lý kiến trúc, thiết kế đô thị, yêu cầu quản lý kèm danh mục, hồ sơ đánh giá, phân loại; đồng thời khẳng định không làm phát sinh thủ tục thẩm định, chấp thuận hoặc cấp phép riêng. Sau khi đối chiếu dự thảo Quy chế quản lý kiến trúc đô thị của Sở Quy hoạch - Kiến trúc, khoản 6 Điều 23 được bổ sung để giao các chỉ tiêu, yêu cầu kiến trúc cụ thể thực hiện theo các công cụ chuyên ngành.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8, Điều 32 và Điều 34 - hồ sơ quản lý, cơ sở dữ liệu và trách nhiệm cập nhật</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 Về hồ sơ quản lý, cơ sở dữ liệu và trách nhiệm cập nhật: Đề nghị giới hạn trách nhiệm của Sở Quy hoạch - Kiến trúc trong phạm vi dữ liệu chuyên ngành kiến trúc; dữ liệu về an toàn, bảo trì, sự cố, PCCC, sở hữu, đất đai, hệ thống kỹ thuật, hồ sơ hoàn công do cơ quan, chủ thể chuyên ngành tạo lập và chịu trách nhiệm.</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Dự thảo đã giới hạn Sở Quy hoạch - Kiến trúc chỉ chủ trì chuẩn hóa, quản lý dữ liệu thuộc phạm vi quản lý nhà nước về kiến trúc; dữ liệu thuộc lĩnh vực khác do cơ quan, tổ chức, cá nhân có trách nhiệm theo pháp luật tạo lập và chịu trách nhiệm về tính chính xác, được kết nối, chia sẻ theo quy định.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Điều 23 - Căn cứ và điều kiện sửa chữa, cải tạo công trình kiến trúc có giá trị</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 Về Chương IV: Đề nghị khoản 1 Điều 23 xác định rõ các nguồn căn cứ gồm quy hoạch, Quy chế quản lý kiến trúc, thiết kế đô thị, yêu cầu quản lý kèm Danh mục, hồ sơ đánh giá, phân loại và pháp luật có liên quan.</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Khoản 1 Điều 23 đã xác định đầy đủ các nguồn căn cứ nêu trên. Dự thảo không tự đặt thứ tự ưu tiên giữa các công cụ quản lý có bản chất pháp lý khác nhau.</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27 - Phá dỡ công trình kiến trúc có giá trị</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Đề nghị việc phá dỡ toàn bộ hoặc một phần chỉ thực hiện khi đáp ứng đầy đủ điều kiện, thẩm quyền, thủ tục; trước khi thực hiện phải ghi nhận, lưu trữ hiện trạng và xử lý cấu kiện, vật liệu có giá trị theo phương án được chấp thuận.</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có điều chỉnh. Điều 27 đã quy định phá dỡ chỉ được thực hiện khi thuộc trường hợp được phép và đáp ứng điều kiện, thẩm quyền, trình tự, thủ tục theo pháp luật; yêu cầu ghi nhận, lưu trữ hiện trạng. Việc xử lý cấu kiện, vật liệu thực hiện theo hồ sơ, phương án đã được cơ quan có thẩm quyền phê duyệt hoặc chấp thuận theo pháp luật, nếu pháp luật có yêu cầu, để không tạo thêm thủ tục chấp thuận mới.</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Điều 34 - Trách nhiệm của Sở Quy hoạch - Kiến trúc</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 Về trách nhiệm của Sở Quy hoạch - Kiến trúc tại Điều 34: Đề nghị giới hạn trách nhiệm trong phạm vi quản lý nhà nước về kiến trúc; sửa nội dung về cập nhật yêu cầu bảo vệ trong quy hoạch và chỉ giao quản lý, chuẩn hóa dữ liệu chuyên ngành kiến trúc.</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Điều 34 đã được chỉnh đúng phạm vi quản lý nhà nước về kiến trúc; khoản 2 quy định rà soát, đề xuất cập nhật yêu cầu bảo vệ trong quá trình lập, điều chỉnh quy hoạch, quy chế quản lý kiến trúc, thiết kế đô thị theo thẩm quyền; khoản 3 chỉ giao quản lý, chuẩn hóa dữ liệu chuyên ngành kiến trúc.</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2 của dự thảo Quyết định - Điều khoản chuyển tiếp</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Sở Quy hoạch - Kiến trúc</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6833/SQHKT-QLKTKG ngày 18/8</w:t>
            </w:r>
            <w:r w:rsidRPr="00D954D9">
              <w:rPr>
                <w:rFonts w:cs="Times New Roman"/>
                <w:sz w:val="26"/>
                <w:szCs w:val="26"/>
              </w:rPr>
              <w:t>/2026)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 Về điều khoản chuyển tiếp và tổ chức thực hiện: Đề nghị bảo đảm tính liên tục của Danh mục, hồ sơ đánh giá - phân loại, yêu cầu quản lý, văn bản quy hoạch - kiến trúc và hồ sơ sửa chữa, cải tạo đã được phê duyệt/chấp thuận; chuẩn hóa dữ liệu không làm thay đổi hiệu lực văn bản đã ban hành hợp pháp.</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Điều 2 đã được chỉnh lý để tiếp tục sử dụng, thực hiện các hồ sơ, Danh mục, quyết định, văn bản đã được phê duyệt, ban hành hoặc chấp thuận hợp pháp; việc chuẩn hóa, cập nhật dữ liệu không làm thay đổi giá trị pháp lý của các văn bản này.</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Điều 8 và Điều 37 - đề xuất hỗ trợ chuyên gia, kinh phí</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Ban Thường trực Ủy ban Mặt trận Tổ quốc Việt Nam Thành phố</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1978/MTTQ-BTT ngày 21/8/2026)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1. </w:t>
            </w:r>
            <w:r w:rsidRPr="00D954D9">
              <w:rPr>
                <w:rFonts w:cs="Times New Roman"/>
                <w:sz w:val="26"/>
                <w:szCs w:val="26"/>
              </w:rPr>
              <w:t xml:space="preserve">Đề nghị xây dựng hoặc bổ sung quy định hỗ trợ chuyên gia hướng dẫn, kinh phí đo vẽ, khảo sát hiện trạng cho hộ gia đình khó khăn đang trực tiếp sinh sống, quản lý di tích hoặc công trình kiến trúc có giá trị thuộc sở hữu riêng. </w:t>
            </w:r>
            <w:r w:rsidRPr="00D954D9">
              <w:rPr>
                <w:rFonts w:cs="Times New Roman"/>
                <w:i/>
                <w:sz w:val="26"/>
                <w:szCs w:val="26"/>
              </w:rPr>
              <w:t>(tại Điều 8 và Điều 37 của dự thảo Quy định)</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vào dự thảo Quyết định. Nội dung hỗ trợ chuyên gia, kinh phí là chính sách hỗ trợ, liên quan nguồn ngân sách, đối tượng và mức hỗ trợ; không thuộc phạm vi nội dung Quyết định này được giao quy định về yêu cầu, điều kiện, hồ sơ quản lý và biện pháp quản lý. Nội dung này có thể được nghiên cứu trong hồ sơ chính sách hỗ trợ riêng khi có đủ căn cứ pháp lý và nguồn lực.</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Điều 18, Điều 28 và Điều 36 - phối hợp xử lý trường hợp có nguy cơ mất an toàn</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Ban Thường trực Ủy ban Mặt trận Tổ quốc Việt Nam Thành phố</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(Công văn số </w:t>
            </w:r>
            <w:r w:rsidRPr="00D954D9">
              <w:rPr>
                <w:rFonts w:cs="Times New Roman"/>
                <w:sz w:val="26"/>
                <w:szCs w:val="26"/>
              </w:rPr>
              <w:t>1978/MTTQ-BTT ngày 21/8/2026)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2. </w:t>
            </w:r>
            <w:r w:rsidRPr="00D954D9">
              <w:rPr>
                <w:rFonts w:cs="Times New Roman"/>
                <w:sz w:val="26"/>
                <w:szCs w:val="26"/>
              </w:rPr>
              <w:t xml:space="preserve">Đề nghị quy định thời gian phối hợp của các đơn vị có liên quan xuống hiện trường hướng dẫn biện pháp chống đỡ tạm thời khi công trình di sản có nguy cơ đổ sập. </w:t>
            </w:r>
            <w:r w:rsidRPr="00D954D9">
              <w:rPr>
                <w:rFonts w:cs="Times New Roman"/>
                <w:i/>
                <w:sz w:val="26"/>
                <w:szCs w:val="26"/>
              </w:rPr>
              <w:t>(tại Điều 18 và Điều 28 của dự thảo Quy định)</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mục tiêu xử lý kịp thời nhưng không tiếp thu việc ấn định thêm một thời hạn phối hợp riêng trong Quyết định. Điều 18, Điều 28 và Điều 36 đã quy định trách nhiệm thực hiện biện pháp bảo đảm an toàn, bảo vệ hiện trường, thông báo và báo cáo cơ quan chuyên ngành; việc xử lý sự cố, công trình mất an toàn tiếp tục thực hiện theo thời hạn, trình tự của pháp luật chuyên ngành để tránh phát sinh một cơ chế hành chính mới.</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Tên Quyết định, tên Quy định và thuật ngữ “cải tạo”/“sửa chữa, cải tạo”</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Long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1940/UBND-VHXH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2. </w:t>
            </w:r>
            <w:r w:rsidRPr="00D954D9">
              <w:rPr>
                <w:rFonts w:cs="Times New Roman"/>
                <w:sz w:val="26"/>
                <w:szCs w:val="26"/>
              </w:rPr>
              <w:t>Đề nghị lựa chọn một cách diễn đạt giữa “cải tạo công trình kiến trúc có giá trị” và “sửa chữa, cải tạo công trình kiến trúc có giá trị” và sử dụng thống nhất toàn văn.</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Không tiếp thu theo hướng đồng nhất máy móc. Tên Quyết định, tên Quy định và phạm vi điều chỉnh sử dụng cụm “cải tạo công trình kiến trúc có giá trị” để bám đúng nội dung Luật Phát triển đô thị giao; trong các điều khoản cụ thể, cụm “sửa chữa, cải tạo” được sử dụng khi mô tả các loại công việc thuộc pháp luật kiến trúc, xây dựng. Hai cách diễn đạt có phạm vi sử dụng khác nhau và không mâu thuẫn.</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Kỹ thuật trình bày - tên Danh mục và dấu gạch nối</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Long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1940/UBND-VHXH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3. </w:t>
            </w:r>
            <w:r w:rsidRPr="00D954D9">
              <w:rPr>
                <w:rFonts w:cs="Times New Roman"/>
                <w:sz w:val="26"/>
                <w:szCs w:val="26"/>
              </w:rPr>
              <w:t>Đề nghị thống nhất cách viết “Danh mục kiểm kê di tích”, cách viết hoa/viết thường các danh mục.</w:t>
            </w:r>
          </w:p>
          <w:p w:rsidR="005807F3" w:rsidRPr="00D954D9" w:rsidRDefault="00ED2EE3">
            <w:pPr>
              <w:spacing w:after="0" w:line="240" w:lineRule="auto"/>
              <w:jc w:val="both"/>
              <w:rPr>
                <w:rFonts w:cs="Times New Roman"/>
                <w:sz w:val="26"/>
                <w:szCs w:val="26"/>
              </w:rPr>
            </w:pPr>
            <w:r w:rsidRPr="00D954D9">
              <w:rPr>
                <w:rFonts w:cs="Times New Roman"/>
                <w:b/>
                <w:sz w:val="26"/>
                <w:szCs w:val="26"/>
              </w:rPr>
              <w:t xml:space="preserve">4. </w:t>
            </w:r>
            <w:r w:rsidRPr="00D954D9">
              <w:rPr>
                <w:rFonts w:cs="Times New Roman"/>
                <w:sz w:val="26"/>
                <w:szCs w:val="26"/>
              </w:rPr>
              <w:t>Đề nghị thống nhất dấu gạch nối có khoảng trắng hai bên trong tên “Sở Quy hoạch - Kiến trúc”.</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về kỹ thuật trình bày. Khoản 2 Điều 33 đã thống nhất thành “Danh mục kiểm kê di tích”; các cụm danh mục mang nghĩa chung được rà soát viết thường phù hợp ngữ cảnh; toàn văn thống nhất cách trình bày “Sở Quy hoạch - Kiến trúc”. Nội dung về Danh mục cần tập trung nguồn lực không còn trong dự thảo sau khi tiếp thu ý kiến Sở Tư pháp.</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Khoản 3 Điều 26 - Biện pháp bảo vệ cảnh quan và công trình lân cận</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Long Trường</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1940/UBND-VHXH ngày 18/8/2026)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 xml:space="preserve">5. </w:t>
            </w:r>
            <w:r w:rsidRPr="00D954D9">
              <w:rPr>
                <w:rFonts w:cs="Times New Roman"/>
                <w:sz w:val="26"/>
                <w:szCs w:val="26"/>
              </w:rPr>
              <w:t>Đề nghị sửa cụm “tuân thủ pháp luật về xây dựng về bảo đảm an toàn” thành “tuân thủ quy định của pháp luật về xây dựng trong việc bảo đảm an toàn”.</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Khoản 3 Điều 26 đã được chỉnh thành: “Hoạt động xây dựng công trình lân cận phải tuân thủ quy định của pháp luật về xây dựng trong việc bảo đảm an toàn cho công trình hiện hữu.”</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Phạm vi điều chỉnh và quan hệ với dự thảo Nghị quyết của Hội đồng nhân dân Thành phố về chính sách hỗ trợ</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Sài Gòn</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3693/UBND-VHXH ngày 25/8/2026)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Sài Gòn đề nghị rà soát, xác định rõ phạm vi, đối tượng và nội dung điều chỉnh giữa dự thảo Quyết định và dự thảo Nghị quyết về chính sách hỗ trợ tu bổ, tôn tạo di tích, công trình kiến trúc và khu vực đô thị có giá trị lịch sử - văn hóa, bảo đảm thống nhất, tránh chồng chéo.</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về yêu cầu rà soát, không bổ sung thêm quy phạm vào Quyết định. Dự thảo Quyết định điều chỉnh yêu cầu, điều kiện, hồ sơ quản lý và biện pháp quản lý theo phạm vi Luật Phát triển đô thị giao; không quy định chính sách hỗ trợ, mức hỗ trợ, nguồn kinh phí hoặc danh mục ưu tiên thuộc phạm vi hồ sơ Nghị quyết của Hội đồng nhân dân Thành phố. Nội dung liên quan Danh mục cần tập trung nguồn lực đã được lược bỏ khỏi Quyết định.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Khoản 4 Điều 8 - trách nhiệm cập nhật hồ sơ, dữ liệu của Ủy ban nhân dân cấp xã</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Vĩnh Tân</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(Công văn số </w:t>
            </w:r>
            <w:r w:rsidRPr="00D954D9">
              <w:rPr>
                <w:rFonts w:cs="Times New Roman"/>
                <w:sz w:val="26"/>
                <w:szCs w:val="26"/>
              </w:rPr>
              <w:t>1643/UBND-VHXH ngày 20/8/2026)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1. Về trách nhiệm cập nhật hồ sơ, dữ liệu của Ủy ban nhân dân cấp xã</w:t>
            </w:r>
          </w:p>
          <w:p w:rsidR="005807F3" w:rsidRPr="00D954D9" w:rsidRDefault="00ED2EE3">
            <w:pPr>
              <w:spacing w:after="0" w:line="240" w:lineRule="auto"/>
              <w:jc w:val="both"/>
              <w:rPr>
                <w:rFonts w:cs="Times New Roman"/>
                <w:sz w:val="26"/>
                <w:szCs w:val="26"/>
              </w:rPr>
            </w:pPr>
            <w:r w:rsidRPr="00D954D9">
              <w:rPr>
                <w:rFonts w:cs="Times New Roman"/>
                <w:sz w:val="26"/>
                <w:szCs w:val="26"/>
              </w:rPr>
              <w:t>Đề nghị làm rõ cấp xã trực tiếp cập nhật dữ liệu vào hệ thống hay chỉ thu thập, cung cấp thông tin; xác định cơ chế phân quyền dữ liệu.</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Khoản 4 Điều 8 đã làm rõ Ủy ban nhân dân cấp xã và các chủ thể có trách nhiệm phối hợp thu thập, cung cấp thông tin, tài liệu; việc trực tiếp cập nhật dữ liệu trên hệ thống chỉ thực hiện khi được cơ quan quản lý chuyên ngành phân quyền; khai thác, sử dụng hồ sơ theo quyền truy cập được giao.</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Khoản 2 Điều 36 - cơ quan chuyên ngành đầu mối tiếp nhận thông tin</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Vĩnh Tân</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1643/UBND-VHXH ngày 20/8/2026)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2. Đề nghị làm rõ cơ chế tiếp nhận và xử lý thông tin về công trình xuống cấp, mất an toàn</w:t>
            </w:r>
          </w:p>
          <w:p w:rsidR="005807F3" w:rsidRPr="00D954D9" w:rsidRDefault="00ED2EE3">
            <w:pPr>
              <w:spacing w:after="0" w:line="240" w:lineRule="auto"/>
              <w:jc w:val="both"/>
              <w:rPr>
                <w:rFonts w:cs="Times New Roman"/>
                <w:sz w:val="26"/>
                <w:szCs w:val="26"/>
              </w:rPr>
            </w:pPr>
            <w:r w:rsidRPr="00D954D9">
              <w:rPr>
                <w:rFonts w:cs="Times New Roman"/>
                <w:sz w:val="26"/>
                <w:szCs w:val="26"/>
              </w:rPr>
              <w:t>Đề nghị xác định rõ đầu mối theo từng nhóm: di tích; công trình kiến trúc có giá trị; trường hợp mất an toàn kết cấu, đồng thời nghiên cứu phương thức báo cáo đối với trường hợp cần xử lý khẩn cấp.</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một phần. Khoản 2 Điều 36 đã xác định rõ Sở Văn hóa và Thể thao đối với di tích; Sở Quy hoạch - Kiến trúc đối với nội dung thuộc quản lý nhà nước về kiến trúc của công trình kiến trúc có giá trị; Sở Xây dựng đối với an toàn, chất lượng, sự cố công trình. Không quy định thêm phương thức hoặc chế độ báo cáo khẩn cấp riêng; việc báo cáo, xử lý thực hiện theo pháp luật chuyên ngành và cơ chế điều hành hiện hành.</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Khoản 4 Điều 18 - dẫn chiếu cập nhật hồ sơ quản lý</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Vĩnh Tân</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1643/UBND-VHXH ngày 20/8/2026)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3. Về dẫn chiếu tại khoản 3 Điều 18 dự thảo Quy định</w:t>
            </w:r>
          </w:p>
          <w:p w:rsidR="005807F3" w:rsidRPr="00D954D9" w:rsidRDefault="00ED2EE3">
            <w:pPr>
              <w:spacing w:after="0" w:line="240" w:lineRule="auto"/>
              <w:jc w:val="both"/>
              <w:rPr>
                <w:rFonts w:cs="Times New Roman"/>
                <w:sz w:val="26"/>
                <w:szCs w:val="26"/>
              </w:rPr>
            </w:pPr>
            <w:r w:rsidRPr="00D954D9">
              <w:rPr>
                <w:rFonts w:cs="Times New Roman"/>
                <w:sz w:val="26"/>
                <w:szCs w:val="26"/>
              </w:rPr>
              <w:t>Đề nghị rà soát việc dẫn chiếu cập nhật tài liệu tu sửa cấp thiết theo Điều 21 vì Điều 21 chủ yếu quy định quản lý cấu kiện, vật liệu; xem xét dẫn chiếu Chương II hoặc điều trực tiếp về hồ sơ quản lý.</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Nội dung hiện được chỉnh tại khoản 4 Điều 18: tài liệu phát sinh trong quá trình tu sửa cấp thiết được cập nhật vào hồ sơ quản lý theo Chương II; trường hợp liên quan đến cấu kiện, vật liệu thì đồng thời thực hiện theo Điều 21 Quy định này.</w:t>
            </w:r>
          </w:p>
        </w:tc>
      </w:tr>
      <w:tr w:rsidR="000C2A14" w:rsidRPr="00D954D9" w:rsidTr="0017174B">
        <w:trPr>
          <w:cantSplit/>
        </w:trPr>
        <w:tc>
          <w:tcPr>
            <w:tcW w:w="2313"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lastRenderedPageBreak/>
              <w:t>Sự thống nhất giữa dự thảo Quyết định, Tờ trình và Bản so sánh, thuyết minh</w:t>
            </w:r>
          </w:p>
        </w:tc>
        <w:tc>
          <w:tcPr>
            <w:tcW w:w="3674" w:type="dxa"/>
            <w:tcMar>
              <w:top w:w="80" w:type="dxa"/>
              <w:left w:w="80" w:type="dxa"/>
              <w:bottom w:w="80" w:type="dxa"/>
              <w:right w:w="80" w:type="dxa"/>
            </w:tcMar>
          </w:tcPr>
          <w:p w:rsidR="0017174B" w:rsidRPr="00D954D9" w:rsidRDefault="000A5BFF" w:rsidP="0017174B">
            <w:pPr>
              <w:spacing w:after="0" w:line="240" w:lineRule="auto"/>
              <w:jc w:val="both"/>
              <w:rPr>
                <w:rFonts w:cs="Times New Roman"/>
                <w:sz w:val="26"/>
                <w:szCs w:val="26"/>
              </w:rPr>
            </w:pPr>
            <w:r w:rsidRPr="00D954D9">
              <w:rPr>
                <w:rFonts w:cs="Times New Roman"/>
                <w:sz w:val="26"/>
                <w:szCs w:val="26"/>
              </w:rPr>
              <w:t>Ủy ban nhân dân phường Vĩnh Tân</w:t>
            </w:r>
          </w:p>
          <w:p w:rsidR="005807F3" w:rsidRPr="00D954D9" w:rsidRDefault="00ED2EE3">
            <w:pPr>
              <w:spacing w:after="0" w:line="240" w:lineRule="auto"/>
              <w:jc w:val="both"/>
              <w:rPr>
                <w:rFonts w:cs="Times New Roman"/>
                <w:sz w:val="26"/>
                <w:szCs w:val="26"/>
              </w:rPr>
            </w:pPr>
            <w:r w:rsidRPr="00D954D9">
              <w:rPr>
                <w:rFonts w:cs="Times New Roman"/>
                <w:sz w:val="26"/>
                <w:szCs w:val="26"/>
              </w:rPr>
              <w:t>(Công văn số 1643/UBND-VHXH ngày 20/8/2026)</w:t>
            </w:r>
          </w:p>
        </w:tc>
        <w:tc>
          <w:tcPr>
            <w:tcW w:w="5085"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b/>
                <w:sz w:val="26"/>
                <w:szCs w:val="26"/>
              </w:rPr>
              <w:t>4. Về sự thống nhất giữa dự thảo Quyết định, Tờ trình và Bản so sánh, thuyết minh</w:t>
            </w:r>
          </w:p>
          <w:p w:rsidR="005807F3" w:rsidRPr="00D954D9" w:rsidRDefault="00ED2EE3">
            <w:pPr>
              <w:spacing w:after="0" w:line="240" w:lineRule="auto"/>
              <w:jc w:val="both"/>
              <w:rPr>
                <w:rFonts w:cs="Times New Roman"/>
                <w:sz w:val="26"/>
                <w:szCs w:val="26"/>
              </w:rPr>
            </w:pPr>
            <w:r w:rsidRPr="00D954D9">
              <w:rPr>
                <w:rFonts w:cs="Times New Roman"/>
                <w:sz w:val="26"/>
                <w:szCs w:val="26"/>
              </w:rPr>
              <w:t xml:space="preserve">Đề nghị thống nhất tên Điều 28 và tên </w:t>
            </w:r>
            <w:r w:rsidRPr="00D954D9">
              <w:rPr>
                <w:rFonts w:cs="Times New Roman"/>
                <w:sz w:val="26"/>
                <w:szCs w:val="26"/>
              </w:rPr>
              <w:t>Chương V giữa các thành phần hồ sơ.</w:t>
            </w:r>
          </w:p>
        </w:tc>
        <w:tc>
          <w:tcPr>
            <w:tcW w:w="2957" w:type="dxa"/>
            <w:tcMar>
              <w:top w:w="80" w:type="dxa"/>
              <w:left w:w="80" w:type="dxa"/>
              <w:bottom w:w="80" w:type="dxa"/>
              <w:right w:w="80" w:type="dxa"/>
            </w:tcMar>
          </w:tcPr>
          <w:p w:rsidR="000C2A14" w:rsidRPr="00D954D9" w:rsidRDefault="000A5BFF" w:rsidP="0017174B">
            <w:pPr>
              <w:spacing w:after="0" w:line="240" w:lineRule="auto"/>
              <w:jc w:val="both"/>
              <w:rPr>
                <w:rFonts w:cs="Times New Roman"/>
                <w:sz w:val="26"/>
                <w:szCs w:val="26"/>
              </w:rPr>
            </w:pPr>
            <w:r w:rsidRPr="00D954D9">
              <w:rPr>
                <w:rFonts w:cs="Times New Roman"/>
                <w:sz w:val="26"/>
                <w:szCs w:val="26"/>
              </w:rPr>
              <w:t>Tiếp thu. Hồ sơ được rà soát để thống nhất theo dự thảo Quyết định: Điều 28 “Xử lý công trình kiến trúc có giá trị có dấu hiệu xuống cấp hoặc xảy ra sự cố”; Chương V “Quản lý thi công, hồ sơ hoàn thành, dữ liệu và phát huy giá trị”. Bản so sánh, thuyết minh và Tờ trình được chỉnh đồng bộ trước khi trình thẩm định.</w:t>
            </w:r>
          </w:p>
        </w:tc>
      </w:tr>
    </w:tbl>
    <w:p w:rsidR="002B35EB" w:rsidRDefault="002B35EB" w:rsidP="0017174B">
      <w:pPr>
        <w:spacing w:after="0"/>
        <w:ind w:firstLine="567"/>
      </w:pPr>
    </w:p>
    <w:sectPr w:rsidR="002B35EB" w:rsidSect="004C796D">
      <w:headerReference w:type="default" r:id="rId8"/>
      <w:pgSz w:w="15840" w:h="12240" w:orient="landscape"/>
      <w:pgMar w:top="907" w:right="907" w:bottom="85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EE3" w:rsidRDefault="00ED2EE3" w:rsidP="004C796D">
      <w:pPr>
        <w:spacing w:after="0" w:line="240" w:lineRule="auto"/>
      </w:pPr>
      <w:r>
        <w:separator/>
      </w:r>
    </w:p>
  </w:endnote>
  <w:endnote w:type="continuationSeparator" w:id="0">
    <w:p w:rsidR="00ED2EE3" w:rsidRDefault="00ED2EE3" w:rsidP="004C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EE3" w:rsidRDefault="00ED2EE3" w:rsidP="004C796D">
      <w:pPr>
        <w:spacing w:after="0" w:line="240" w:lineRule="auto"/>
      </w:pPr>
      <w:r>
        <w:separator/>
      </w:r>
    </w:p>
  </w:footnote>
  <w:footnote w:type="continuationSeparator" w:id="0">
    <w:p w:rsidR="00ED2EE3" w:rsidRDefault="00ED2EE3" w:rsidP="004C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968607"/>
      <w:docPartObj>
        <w:docPartGallery w:val="Page Numbers (Top of Page)"/>
        <w:docPartUnique/>
      </w:docPartObj>
    </w:sdtPr>
    <w:sdtEndPr>
      <w:rPr>
        <w:noProof/>
      </w:rPr>
    </w:sdtEndPr>
    <w:sdtContent>
      <w:p w:rsidR="004C796D" w:rsidRDefault="004C796D">
        <w:pPr>
          <w:pStyle w:val="Header"/>
          <w:jc w:val="center"/>
        </w:pPr>
        <w:r>
          <w:fldChar w:fldCharType="begin"/>
        </w:r>
        <w:r>
          <w:instrText xml:space="preserve"> PAGE   \* MERGEFORMAT </w:instrText>
        </w:r>
        <w:r>
          <w:fldChar w:fldCharType="separate"/>
        </w:r>
        <w:r w:rsidR="00D954D9">
          <w:rPr>
            <w:noProof/>
          </w:rPr>
          <w:t>23</w:t>
        </w:r>
        <w:r>
          <w:rPr>
            <w:noProof/>
          </w:rPr>
          <w:fldChar w:fldCharType="end"/>
        </w:r>
      </w:p>
    </w:sdtContent>
  </w:sdt>
  <w:p w:rsidR="004C796D" w:rsidRDefault="004C79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A66"/>
    <w:rsid w:val="00034616"/>
    <w:rsid w:val="00053F55"/>
    <w:rsid w:val="0006063C"/>
    <w:rsid w:val="000A5BFF"/>
    <w:rsid w:val="000C2A14"/>
    <w:rsid w:val="000C65B9"/>
    <w:rsid w:val="0015074B"/>
    <w:rsid w:val="0017174B"/>
    <w:rsid w:val="0029639D"/>
    <w:rsid w:val="002B35EB"/>
    <w:rsid w:val="00326F90"/>
    <w:rsid w:val="0034033E"/>
    <w:rsid w:val="00391429"/>
    <w:rsid w:val="004C6270"/>
    <w:rsid w:val="004C796D"/>
    <w:rsid w:val="00563D00"/>
    <w:rsid w:val="005807F3"/>
    <w:rsid w:val="00583175"/>
    <w:rsid w:val="006C24D4"/>
    <w:rsid w:val="00831A81"/>
    <w:rsid w:val="00866EB5"/>
    <w:rsid w:val="009822AD"/>
    <w:rsid w:val="00AA1D8D"/>
    <w:rsid w:val="00B13224"/>
    <w:rsid w:val="00B47730"/>
    <w:rsid w:val="00BA0D19"/>
    <w:rsid w:val="00BE0356"/>
    <w:rsid w:val="00CB0664"/>
    <w:rsid w:val="00D3555E"/>
    <w:rsid w:val="00D45AE2"/>
    <w:rsid w:val="00D954D9"/>
    <w:rsid w:val="00DD534A"/>
    <w:rsid w:val="00ED2EE3"/>
    <w:rsid w:val="00F411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04B4FBF-B46D-4341-8B70-F3356A15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C9A85-CD24-434E-AC0F-E7FB48D03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3517</Words>
  <Characters>20048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13</cp:revision>
  <dcterms:created xsi:type="dcterms:W3CDTF">2026-08-17T09:48:00Z</dcterms:created>
  <dcterms:modified xsi:type="dcterms:W3CDTF">2026-08-28T03:33:00Z</dcterms:modified>
  <cp:category/>
</cp:coreProperties>
</file>