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jc w:val="center"/>
        <w:tblLayout w:type="fixed"/>
        <w:tblLook w:val="04A0" w:firstRow="1" w:lastRow="0" w:firstColumn="1" w:lastColumn="0" w:noHBand="0" w:noVBand="1"/>
      </w:tblPr>
      <w:tblGrid>
        <w:gridCol w:w="4077"/>
        <w:gridCol w:w="5846"/>
      </w:tblGrid>
      <w:tr w:rsidR="00BF02E3" w:rsidRPr="00BF02E3" w:rsidTr="00194E28">
        <w:trPr>
          <w:jc w:val="center"/>
        </w:trPr>
        <w:tc>
          <w:tcPr>
            <w:tcW w:w="4077" w:type="dxa"/>
          </w:tcPr>
          <w:p w:rsidR="00D262EF" w:rsidRPr="00BF02E3" w:rsidRDefault="00D262EF" w:rsidP="00194E28">
            <w:pPr>
              <w:spacing w:after="0" w:line="240" w:lineRule="auto"/>
              <w:ind w:firstLine="8"/>
              <w:jc w:val="center"/>
              <w:rPr>
                <w:rFonts w:cs="Times New Roman"/>
                <w:sz w:val="26"/>
                <w:szCs w:val="26"/>
              </w:rPr>
            </w:pPr>
            <w:bookmarkStart w:id="0" w:name="_GoBack"/>
            <w:bookmarkEnd w:id="0"/>
            <w:r w:rsidRPr="00BF02E3">
              <w:rPr>
                <w:rFonts w:cs="Times New Roman"/>
                <w:color w:val="000000"/>
                <w:sz w:val="26"/>
                <w:szCs w:val="26"/>
              </w:rPr>
              <w:t>ỦY BAN NHÂN DÂN</w:t>
            </w:r>
          </w:p>
          <w:p w:rsidR="00D262EF" w:rsidRPr="00BF02E3" w:rsidRDefault="00D262EF" w:rsidP="00194E28">
            <w:pPr>
              <w:spacing w:after="0" w:line="240" w:lineRule="auto"/>
              <w:ind w:firstLine="8"/>
              <w:jc w:val="center"/>
              <w:rPr>
                <w:rFonts w:cs="Times New Roman"/>
                <w:sz w:val="26"/>
                <w:szCs w:val="26"/>
              </w:rPr>
            </w:pPr>
            <w:r w:rsidRPr="00BF02E3">
              <w:rPr>
                <w:rFonts w:cs="Times New Roman"/>
                <w:color w:val="000000"/>
                <w:sz w:val="26"/>
                <w:szCs w:val="26"/>
              </w:rPr>
              <w:t>THÀNH PHỐ HỒ CHÍ MINH</w:t>
            </w:r>
          </w:p>
          <w:p w:rsidR="00D262EF" w:rsidRPr="00BF02E3" w:rsidRDefault="00D262EF" w:rsidP="00194E28">
            <w:pPr>
              <w:spacing w:after="0" w:line="240" w:lineRule="auto"/>
              <w:ind w:firstLine="8"/>
              <w:jc w:val="center"/>
              <w:rPr>
                <w:rFonts w:cs="Times New Roman"/>
                <w:b/>
                <w:bCs/>
                <w:w w:val="95"/>
                <w:sz w:val="26"/>
                <w:szCs w:val="26"/>
              </w:rPr>
            </w:pPr>
            <w:r w:rsidRPr="00BF02E3">
              <w:rPr>
                <w:rFonts w:cs="Times New Roman"/>
                <w:noProof/>
                <w:color w:val="000000"/>
                <w:sz w:val="26"/>
                <w:szCs w:val="26"/>
              </w:rPr>
              <mc:AlternateContent>
                <mc:Choice Requires="wps">
                  <w:drawing>
                    <wp:anchor distT="0" distB="0" distL="114300" distR="114300" simplePos="0" relativeHeight="251660288" behindDoc="0" locked="0" layoutInCell="1" allowOverlap="1" wp14:anchorId="775A6BD5" wp14:editId="62E7BF0A">
                      <wp:simplePos x="0" y="0"/>
                      <wp:positionH relativeFrom="margin">
                        <wp:posOffset>772160</wp:posOffset>
                      </wp:positionH>
                      <wp:positionV relativeFrom="paragraph">
                        <wp:posOffset>256540</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411614" id="_x0000_t32" coordsize="21600,21600" o:spt="32" o:oned="t" path="m,l21600,21600e" filled="f">
                      <v:path arrowok="t" fillok="f" o:connecttype="none"/>
                      <o:lock v:ext="edit" shapetype="t"/>
                    </v:shapetype>
                    <v:shape id="Straight Arrow Connector 2" o:spid="_x0000_s1026" type="#_x0000_t32" style="position:absolute;margin-left:60.8pt;margin-top:20.2pt;width:76.4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">
                      <v:path arrowok="f"/>
                      <w10:wrap anchorx="margin"/>
                    </v:shape>
                  </w:pict>
                </mc:Fallback>
              </mc:AlternateContent>
            </w:r>
            <w:r w:rsidRPr="00BF02E3">
              <w:rPr>
                <w:rFonts w:cs="Times New Roman"/>
                <w:b/>
                <w:color w:val="000000"/>
                <w:sz w:val="26"/>
              </w:rPr>
              <w:t>SỞ VĂN HÓA VÀ THỂ THAO</w:t>
            </w:r>
            <w:r w:rsidRPr="00BF02E3">
              <w:rPr>
                <w:rFonts w:cs="Times New Roman"/>
                <w:b/>
                <w:color w:val="000000"/>
                <w:sz w:val="26"/>
              </w:rPr>
              <w:br/>
            </w:r>
            <w:r w:rsidRPr="00BF02E3">
              <w:rPr>
                <w:rFonts w:cs="Times New Roman"/>
                <w:noProof/>
                <w:color w:val="000000"/>
                <w:sz w:val="26"/>
                <w:szCs w:val="26"/>
              </w:rPr>
              <mc:AlternateContent>
                <mc:Choice Requires="wps">
                  <w:drawing>
                    <wp:anchor distT="0" distB="0" distL="114300" distR="114300" simplePos="0" relativeHeight="251659264" behindDoc="0" locked="0" layoutInCell="1" allowOverlap="1" wp14:anchorId="6F98DBCA" wp14:editId="5634C992">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D93F1" id="AutoShape 6" o:spid="_x0000_s1026" type="#_x0000_t3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">
                      <v:path arrowok="f"/>
                      <o:lock v:ext="edit" selection="t"/>
                    </v:shape>
                  </w:pict>
                </mc:Fallback>
              </mc:AlternateContent>
            </w:r>
          </w:p>
          <w:p w:rsidR="00D262EF" w:rsidRPr="00BF02E3" w:rsidRDefault="00D262EF" w:rsidP="00194E28">
            <w:pPr>
              <w:spacing w:after="0" w:line="240" w:lineRule="auto"/>
              <w:ind w:firstLine="567"/>
              <w:jc w:val="both"/>
              <w:rPr>
                <w:rFonts w:cs="Times New Roman"/>
                <w:sz w:val="26"/>
                <w:szCs w:val="26"/>
              </w:rPr>
            </w:pPr>
            <w:r w:rsidRPr="00BF02E3">
              <w:rPr>
                <w:rFonts w:cs="Times New Roman"/>
                <w:noProof/>
                <w:color w:val="000000"/>
                <w:sz w:val="26"/>
                <w:szCs w:val="26"/>
              </w:rPr>
              <mc:AlternateContent>
                <mc:Choice Requires="wps">
                  <w:drawing>
                    <wp:anchor distT="0" distB="0" distL="114300" distR="114300" simplePos="0" relativeHeight="251661312" behindDoc="0" locked="0" layoutInCell="1" allowOverlap="1" wp14:anchorId="4225C32D" wp14:editId="3DBD66B8">
                      <wp:simplePos x="0" y="0"/>
                      <wp:positionH relativeFrom="column">
                        <wp:posOffset>600710</wp:posOffset>
                      </wp:positionH>
                      <wp:positionV relativeFrom="paragraph">
                        <wp:posOffset>189230</wp:posOffset>
                      </wp:positionV>
                      <wp:extent cx="1211580" cy="323850"/>
                      <wp:effectExtent l="0" t="0" r="2667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rsidR="00D262EF" w:rsidRDefault="00D262EF" w:rsidP="00D262EF">
                                  <w:pPr>
                                    <w:jc w:val="center"/>
                                    <w:rPr>
                                      <w:b/>
                                      <w:bCs/>
                                    </w:rPr>
                                  </w:pPr>
                                  <w:r>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5C32D" id="Text Box 2" o:spid="_x0000_s1026" style="position:absolute;left:0;text-align:left;margin-left:47.3pt;margin-top:14.9pt;width:95.4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">
                      <v:textbox>
                        <w:txbxContent>
                          <w:p w:rsidR="00D262EF" w:rsidRDefault="00D262EF" w:rsidP="00D262EF">
                            <w:pPr>
                              <w:jc w:val="center"/>
                              <w:rPr>
                                <w:b/>
                                <w:bCs/>
                              </w:rPr>
                            </w:pPr>
                            <w:r>
                              <w:rPr>
                                <w:b/>
                                <w:bCs/>
                              </w:rPr>
                              <w:t>Dự thảo</w:t>
                            </w:r>
                          </w:p>
                        </w:txbxContent>
                      </v:textbox>
                    </v:rect>
                  </w:pict>
                </mc:Fallback>
              </mc:AlternateContent>
            </w:r>
            <w:r w:rsidRPr="00BF02E3">
              <w:rPr>
                <w:rFonts w:cs="Times New Roman"/>
                <w:color w:val="000000"/>
                <w:sz w:val="26"/>
                <w:szCs w:val="26"/>
              </w:rPr>
              <w:tab/>
              <w:t xml:space="preserve">Số:            </w:t>
            </w:r>
          </w:p>
          <w:p w:rsidR="00D262EF" w:rsidRPr="00BF02E3" w:rsidRDefault="00D262EF" w:rsidP="00194E28">
            <w:pPr>
              <w:spacing w:after="0" w:line="240" w:lineRule="auto"/>
              <w:ind w:firstLine="567"/>
              <w:jc w:val="both"/>
              <w:rPr>
                <w:rFonts w:cs="Times New Roman"/>
                <w:w w:val="90"/>
                <w:sz w:val="26"/>
                <w:szCs w:val="26"/>
              </w:rPr>
            </w:pPr>
          </w:p>
        </w:tc>
        <w:tc>
          <w:tcPr>
            <w:tcW w:w="5846" w:type="dxa"/>
          </w:tcPr>
          <w:p w:rsidR="00D262EF" w:rsidRPr="00BF02E3" w:rsidRDefault="00D262EF" w:rsidP="00194E28">
            <w:pPr>
              <w:keepNext/>
              <w:spacing w:after="0" w:line="240" w:lineRule="auto"/>
              <w:ind w:firstLine="39"/>
              <w:jc w:val="center"/>
              <w:rPr>
                <w:rFonts w:cs="Times New Roman"/>
                <w:b/>
                <w:bCs/>
                <w:sz w:val="26"/>
                <w:szCs w:val="26"/>
              </w:rPr>
            </w:pPr>
            <w:r w:rsidRPr="00BF02E3">
              <w:rPr>
                <w:rFonts w:cs="Times New Roman"/>
                <w:b/>
                <w:bCs/>
                <w:color w:val="000000"/>
                <w:sz w:val="26"/>
                <w:szCs w:val="26"/>
              </w:rPr>
              <w:t>CỘNG HÒA XÃ HỘI CHỦ NGHĨA VIỆT NAM</w:t>
            </w:r>
          </w:p>
          <w:p w:rsidR="00D262EF" w:rsidRPr="00BF02E3" w:rsidRDefault="00D262EF" w:rsidP="00194E28">
            <w:pPr>
              <w:keepNext/>
              <w:spacing w:after="0" w:line="240" w:lineRule="auto"/>
              <w:ind w:firstLine="39"/>
              <w:jc w:val="center"/>
              <w:rPr>
                <w:rFonts w:cs="Times New Roman"/>
                <w:b/>
                <w:bCs/>
                <w:sz w:val="26"/>
                <w:szCs w:val="26"/>
              </w:rPr>
            </w:pPr>
            <w:r w:rsidRPr="00BF02E3">
              <w:rPr>
                <w:rFonts w:cs="Times New Roman"/>
                <w:b/>
                <w:bCs/>
                <w:color w:val="000000"/>
                <w:sz w:val="26"/>
                <w:szCs w:val="26"/>
              </w:rPr>
              <w:t>Độc lập – Tự do – Hạnh phúc</w:t>
            </w:r>
          </w:p>
          <w:p w:rsidR="00D262EF" w:rsidRPr="00BF02E3" w:rsidRDefault="00D262EF" w:rsidP="00194E28">
            <w:pPr>
              <w:keepNext/>
              <w:spacing w:before="240" w:after="0" w:line="240" w:lineRule="auto"/>
              <w:ind w:firstLine="40"/>
              <w:jc w:val="center"/>
              <w:rPr>
                <w:rFonts w:cs="Times New Roman"/>
                <w:i/>
                <w:iCs/>
                <w:sz w:val="26"/>
                <w:szCs w:val="26"/>
                <w:lang w:val="vi-VN"/>
              </w:rPr>
            </w:pPr>
            <w:r w:rsidRPr="00BF02E3">
              <w:rPr>
                <w:rFonts w:cs="Times New Roman"/>
                <w:i/>
                <w:iCs/>
                <w:noProof/>
                <w:color w:val="000000"/>
                <w:sz w:val="26"/>
                <w:szCs w:val="26"/>
              </w:rPr>
              <mc:AlternateContent>
                <mc:Choice Requires="wps">
                  <w:drawing>
                    <wp:anchor distT="0" distB="0" distL="114300" distR="114300" simplePos="0" relativeHeight="251662336" behindDoc="0" locked="0" layoutInCell="1" allowOverlap="1" wp14:anchorId="261A84BA" wp14:editId="62628BEA">
                      <wp:simplePos x="0" y="0"/>
                      <wp:positionH relativeFrom="column">
                        <wp:posOffset>742314</wp:posOffset>
                      </wp:positionH>
                      <wp:positionV relativeFrom="paragraph">
                        <wp:posOffset>33655</wp:posOffset>
                      </wp:positionV>
                      <wp:extent cx="2105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554C2D"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8.45pt,2.65pt" to="22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" strokecolor="black [3040]"/>
                  </w:pict>
                </mc:Fallback>
              </mc:AlternateContent>
            </w:r>
            <w:r w:rsidRPr="00BF02E3">
              <w:rPr>
                <w:rFonts w:cs="Times New Roman"/>
                <w:i/>
                <w:iCs/>
                <w:color w:val="000000"/>
                <w:sz w:val="26"/>
                <w:szCs w:val="26"/>
              </w:rPr>
              <w:t>Thành phố Hồ Chí Minh, ngày      tháng    năm 2026</w:t>
            </w:r>
          </w:p>
        </w:tc>
      </w:tr>
    </w:tbl>
    <w:p w:rsidR="00FE1C34" w:rsidRPr="00BF02E3" w:rsidRDefault="00B72206" w:rsidP="009B4FEB">
      <w:pPr>
        <w:spacing w:before="120" w:after="120" w:line="240" w:lineRule="auto"/>
        <w:jc w:val="center"/>
        <w:rPr>
          <w:rFonts w:cs="Times New Roman"/>
          <w:szCs w:val="28"/>
        </w:rPr>
      </w:pPr>
      <w:r w:rsidRPr="00BF02E3">
        <w:rPr>
          <w:rFonts w:cs="Times New Roman"/>
          <w:b/>
          <w:color w:val="000000"/>
          <w:szCs w:val="28"/>
        </w:rPr>
        <w:t>BÁO CÁO</w:t>
      </w:r>
    </w:p>
    <w:p w:rsidR="00FE1C34" w:rsidRPr="00BF02E3" w:rsidRDefault="00B72206" w:rsidP="009B4FEB">
      <w:pPr>
        <w:spacing w:before="120" w:after="120" w:line="240" w:lineRule="auto"/>
        <w:jc w:val="center"/>
        <w:rPr>
          <w:rFonts w:cs="Times New Roman"/>
          <w:b/>
          <w:szCs w:val="28"/>
        </w:rPr>
      </w:pPr>
      <w:r w:rsidRPr="00BF02E3">
        <w:rPr>
          <w:rFonts w:cs="Times New Roman"/>
          <w:b/>
          <w:color w:val="000000"/>
          <w:szCs w:val="28"/>
        </w:rPr>
        <w:t xml:space="preserve">Đánh giá tác động của chính sách đối với dự thảo Nghị quyết </w:t>
        <w:br/>
        <w:t>quy định trình tự, thủ tục bảo quản, tu bổ, phục hồi di tích quốc gia, di tích quốc gia đặc biệt trên địa bàn Thành phố Hồ Chí Minh</w:t>
      </w:r>
      <w:r w:rsidR="00A5724C" w:rsidRPr="00BF02E3">
        <w:rPr>
          <w:rFonts w:cs="Times New Roman"/>
          <w:b/>
          <w:color w:val="000000"/>
          <w:szCs w:val="28"/>
        </w:rPr>
      </w:r>
      <w:r w:rsidR="00A5724C" w:rsidRPr="00BF02E3">
        <w:rPr>
          <w:b/>
          <w:color w:val="000000"/>
        </w:rPr>
      </w:r>
      <w:r w:rsidR="00A5724C" w:rsidRPr="00BF02E3">
        <w:rPr>
          <w:b/>
          <w:color w:val="000000"/>
        </w:rPr>
      </w:r>
      <w:r w:rsidR="00A5724C" w:rsidRPr="00BF02E3">
        <w:rPr>
          <w:b/>
          <w:color w:val="000000"/>
        </w:rPr>
      </w:r>
    </w:p>
    <w:p w:rsidR="009B4FEB" w:rsidRPr="00BF02E3" w:rsidRDefault="009B4FEB" w:rsidP="009B4FEB">
      <w:pPr>
        <w:spacing w:before="480" w:after="360" w:line="240" w:lineRule="auto"/>
        <w:ind w:firstLine="720"/>
        <w:jc w:val="center"/>
      </w:pPr>
      <w:r w:rsidRPr="00BF02E3">
        <w:rPr>
          <w:b/>
          <w:bCs/>
          <w:noProof/>
          <w:color w:val="000000"/>
        </w:rPr>
        <mc:AlternateContent>
          <mc:Choice Requires="wps">
            <w:drawing>
              <wp:anchor distT="0" distB="0" distL="114300" distR="114300" simplePos="0" relativeHeight="251657216" behindDoc="0" locked="0" layoutInCell="1" allowOverlap="1" wp14:anchorId="799E809F" wp14:editId="50B95430">
                <wp:simplePos x="0" y="0"/>
                <wp:positionH relativeFrom="column">
                  <wp:posOffset>2343150</wp:posOffset>
                </wp:positionH>
                <wp:positionV relativeFrom="paragraph">
                  <wp:posOffset>44450</wp:posOffset>
                </wp:positionV>
                <wp:extent cx="1257300" cy="0"/>
                <wp:effectExtent l="0" t="0" r="19050" b="19050"/>
                <wp:wrapNone/>
                <wp:docPr id="281270281" name="Straight Connector 4"/>
                <wp:cNvGraphicFramePr/>
                <a:graphic xmlns:a="http://schemas.openxmlformats.org/drawingml/2006/main">
                  <a:graphicData uri="http://schemas.microsoft.com/office/word/2010/wordprocessingShape">
                    <wps:wsp>
                      <wps:cNvCnPr/>
                      <wps:spPr>
                        <a:xfrm flipV="1">
                          <a:off x="0" y="0"/>
                          <a:ext cx="1257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0EA628" id="Straight Connector 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3.5pt" to="28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" strokecolor="black [3213]"/>
            </w:pict>
          </mc:Fallback>
        </mc:AlternateContent>
      </w:r>
      <w:r w:rsidRPr="00BF02E3">
        <w:rPr>
          <w:color w:val="000000"/>
        </w:rPr>
        <w:t>Kính gửi: Ủy ban nhân dân Thành phố Hồ Chí Minh.</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 xml:space="preserve">Căn cứ Luật Ban hành văn bản quy phạm pháp luật số 64/2025/QH15 ngày 19 tháng 02 năm 2025, được sửa đổi, bổ sung bởi Luật số 87/2025/QH15 ngày 25 tháng 6 năm 2025; Nghị quyết số 39/2026/NQ-HĐND ngày 27 tháng 8 năm 2026 của Hội đồng nhân dân Thành phố Hồ Chí Minh; Luật Phát triển đô thị số 18/2026/QH16, đặc biệt Điều 7 và điểm c khoản 2 </w:t>
      </w:r>
      <w:r w:rsidR="00355623">
        <w:rPr>
          <w:rFonts w:cs="Times New Roman"/>
          <w:color w:val="000000"/>
          <w:szCs w:val="28"/>
        </w:rPr>
        <w:t>Điều 26</w:t>
      </w:r>
      <w:r w:rsidRPr="00BF02E3">
        <w:rPr>
          <w:rFonts w:cs="Times New Roman"/>
          <w:color w:val="000000"/>
          <w:szCs w:val="28"/>
        </w:rPr>
        <w:t>; Luật Di sản văn hóa số 45/2024/QH15; Nghị định số 208/2025/NĐ-CP ngày 17 tháng 7 năm 2025; Nghị định số 308/2025/NĐ-CP ngày 28 tháng 11 năm 2025; Luật Xây dựng số 135/2025/QH15 ngày 10 tháng 12 năm 2025; Nghị định số 217/2026/NĐ-CP ngày 19 tháng 6 năm 2026 và pháp luật có liên quan, Sở Văn hóa và Thể thao đánh giá tác động như sau:</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I. XÁC ĐỊNH VẤN ĐỀ VÀ MỤC TIÊU CHÍNH SÁCH</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1. Vấn đề cần giải quyết: pháp luật di sản văn hóa và xây dựng đã quy định các thủ tục chuyên ngành, nhưng Luật Phát triển đô thị số 18/2026/QH16 thiết lập cơ chế mới đối với việc quyết định bảo quản, tu bổ, phục hồi di tích quốc gia, di tích quốc gia đặc biệt sau khi tham vấn cơ quan quản lý nhà nước về văn hóa ở trung ương và giao Hội đồng nhân dân Thành phố quy định trình tự, thủ tục. Nếu không có Nghị quyết, cơ chế mới thiếu chuỗi tổ chức thực hiện cụ thể ở cấp Thành phố.</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2. Mục tiêu: (a) cụ thể hóa trình tự, thủ tục thực hiện cơ chế tại điểm c khoản 2 Điều 26 và xác định hình thức thực hiện thẩm quyền của Chủ tịch Ủy ban nhân dân Thành phố: phê duyệt Báo cáo nghiên cứu khả thi, Báo cáo kinh tế - kỹ thuật đối với di tích quốc gia đặc biệt; có văn bản chấp thuận về bảo quản, tu bổ, phục hồi đối với di tích quốc gia trước bước phê duyệt dự án, quyết định đầu tư; (b) xác định một đầu mối chuyên ngành rõ ràng; (c) kết nối tham vấn, thẩm định di sản, thẩm định xây dựng và phê duyệt mà không trùng lặp; (d) đơn giản hóa thủ tục trong giới hạn Điều 7 Luật Phát triển đô thị; (đ) bảo vệ tối đa yếu tố gốc cấu thành di tích; (e) tăng công khai, trách nhiệm giải trình và khả năng số hóa hồ sơ.</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II. CÁC PHƯƠNG ÁN CHÍNH SÁCH</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1"/>
        <w:gridCol w:w="2835"/>
        <w:gridCol w:w="2835"/>
        <w:gridCol w:w="2351"/>
      </w:tblGrid>
      <w:tr w:rsidR="00BF02E3" w:rsidRPr="00BF02E3">
        <w:trPr>
          <w:tblHeader/>
          <w:jc w:val="center"/>
        </w:trPr>
        <w:tc>
          <w:tcPr>
            <w:tcW w:w="2351" w:type="dxa"/>
          </w:tcPr>
          <w:p w:rsidR="00FE1C34" w:rsidRPr="00BF02E3" w:rsidRDefault="00B72206" w:rsidP="009B4FEB">
            <w:pPr>
              <w:spacing w:before="120" w:after="120" w:line="240" w:lineRule="auto"/>
              <w:jc w:val="center"/>
              <w:rPr>
                <w:rFonts w:cs="Times New Roman"/>
                <w:szCs w:val="28"/>
              </w:rPr>
            </w:pPr>
            <w:r w:rsidRPr="00BF02E3">
              <w:rPr>
                <w:rFonts w:cs="Times New Roman"/>
                <w:b/>
                <w:color w:val="000000"/>
                <w:szCs w:val="28"/>
              </w:rPr>
              <w:lastRenderedPageBreak/>
              <w:t>Nội dung</w:t>
            </w:r>
          </w:p>
        </w:tc>
        <w:tc>
          <w:tcPr>
            <w:tcW w:w="2351" w:type="dxa"/>
          </w:tcPr>
          <w:p w:rsidR="00FE1C34" w:rsidRPr="00BF02E3" w:rsidRDefault="00B72206" w:rsidP="009B4FEB">
            <w:pPr>
              <w:spacing w:before="120" w:after="120" w:line="240" w:lineRule="auto"/>
              <w:ind w:firstLine="10"/>
              <w:jc w:val="center"/>
              <w:rPr>
                <w:rFonts w:cs="Times New Roman"/>
                <w:szCs w:val="28"/>
              </w:rPr>
            </w:pPr>
            <w:r w:rsidRPr="00BF02E3">
              <w:rPr>
                <w:rFonts w:cs="Times New Roman"/>
                <w:b/>
                <w:color w:val="000000"/>
                <w:szCs w:val="28"/>
              </w:rPr>
              <w:t>Phương án 1: chỉ áp dụng quy định hiện hành</w:t>
            </w:r>
          </w:p>
        </w:tc>
        <w:tc>
          <w:tcPr>
            <w:tcW w:w="2351" w:type="dxa"/>
          </w:tcPr>
          <w:p w:rsidR="00FE1C34" w:rsidRPr="00BF02E3" w:rsidRDefault="00B72206" w:rsidP="009B4FEB">
            <w:pPr>
              <w:spacing w:before="120" w:after="120" w:line="240" w:lineRule="auto"/>
              <w:ind w:firstLine="10"/>
              <w:jc w:val="center"/>
              <w:rPr>
                <w:rFonts w:cs="Times New Roman"/>
                <w:szCs w:val="28"/>
              </w:rPr>
            </w:pPr>
            <w:r w:rsidRPr="00BF02E3">
              <w:rPr>
                <w:rFonts w:cs="Times New Roman"/>
                <w:b/>
                <w:color w:val="000000"/>
                <w:szCs w:val="28"/>
              </w:rPr>
              <w:t>Phương án 2: ban hành Nghị quyết theo Luật Phát triển đô thị</w:t>
            </w:r>
          </w:p>
        </w:tc>
        <w:tc>
          <w:tcPr>
            <w:tcW w:w="2351" w:type="dxa"/>
          </w:tcPr>
          <w:p w:rsidR="00FE1C34" w:rsidRPr="00BF02E3" w:rsidRDefault="00B72206" w:rsidP="009B4FEB">
            <w:pPr>
              <w:spacing w:before="120" w:after="120" w:line="240" w:lineRule="auto"/>
              <w:ind w:firstLine="10"/>
              <w:jc w:val="center"/>
              <w:rPr>
                <w:rFonts w:cs="Times New Roman"/>
                <w:szCs w:val="28"/>
              </w:rPr>
            </w:pPr>
            <w:r w:rsidRPr="00BF02E3">
              <w:rPr>
                <w:rFonts w:cs="Times New Roman"/>
                <w:b/>
                <w:color w:val="000000"/>
                <w:szCs w:val="28"/>
              </w:rPr>
              <w:t>Đánh giá sơ bộ</w:t>
            </w:r>
          </w:p>
        </w:tc>
      </w:tr>
      <w:tr w:rsidR="00BF02E3" w:rsidRPr="00BF02E3">
        <w:trPr>
          <w:jc w:val="center"/>
        </w:trPr>
        <w:tc>
          <w:tcPr>
            <w:tcW w:w="2041"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 xml:space="preserve">Thực hiện thẩm quyền </w:t>
            </w:r>
            <w:r w:rsidR="009B4FEB" w:rsidRPr="00BF02E3">
              <w:rPr>
                <w:rFonts w:cs="Times New Roman"/>
                <w:color w:val="000000"/>
                <w:szCs w:val="28"/>
              </w:rPr>
              <w:t>di tích quốc gia, di tích quốc gia đặc biệt</w:t>
            </w:r>
          </w:p>
        </w:tc>
        <w:tc>
          <w:tcPr>
            <w:tcW w:w="2835"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 xml:space="preserve">Tiếp tục áp dụng riêng từng thủ tục theo Nghị định số 208/2025/NĐ-CP và pháp luật xây dựng; chưa có trình tự HĐND Thành phố quy định để vận hành cơ chế điểm c khoản 2 </w:t>
            </w:r>
            <w:r w:rsidR="00355623">
              <w:rPr>
                <w:rFonts w:cs="Times New Roman"/>
                <w:color w:val="000000"/>
                <w:szCs w:val="28"/>
              </w:rPr>
              <w:t>Điều 26</w:t>
            </w:r>
            <w:r w:rsidRPr="00BF02E3">
              <w:rPr>
                <w:rFonts w:cs="Times New Roman"/>
                <w:color w:val="000000"/>
                <w:szCs w:val="28"/>
              </w:rPr>
              <w:t>.</w:t>
            </w:r>
          </w:p>
        </w:tc>
        <w:tc>
          <w:tcPr>
            <w:tcW w:w="2835"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Ban hành chuỗi trình tự thống nhất, xác định tham vấn, đầu mối, thẩm quyền và mối quan hệ với pháp luật chuyên ngành.</w:t>
            </w:r>
          </w:p>
        </w:tc>
        <w:tc>
          <w:tcPr>
            <w:tcW w:w="2268"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Phương án 2 đáp ứng trực tiếp yêu cầu Luật Phát triển đô thị; phải giới hạn đúng phạm vi được giao.</w:t>
            </w:r>
          </w:p>
        </w:tc>
      </w:tr>
      <w:tr w:rsidR="00BF02E3" w:rsidRPr="00BF02E3">
        <w:trPr>
          <w:jc w:val="center"/>
        </w:trPr>
        <w:tc>
          <w:tcPr>
            <w:tcW w:w="2041"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TTHC hiện hành</w:t>
            </w:r>
          </w:p>
        </w:tc>
        <w:tc>
          <w:tcPr>
            <w:tcW w:w="2835"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Giữ nguyên đầu mối và thời hạn trung ương.</w:t>
            </w:r>
          </w:p>
        </w:tc>
        <w:tc>
          <w:tcPr>
            <w:tcW w:w="2835"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Điều chỉnh một số đầu mối, chủ thể nộp hồ sơ, thời hạn theo hướng tập trung tại Sở và rút gọn.</w:t>
            </w:r>
          </w:p>
        </w:tc>
        <w:tc>
          <w:tcPr>
            <w:tcW w:w="2268"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Phương án 2 có thể giảm thời gian/luân chuyển nhưng phải tuân thủ khoản 2 Điều 7, không tăng hồ sơ/điều kiện/thời gian.</w:t>
            </w:r>
          </w:p>
        </w:tc>
      </w:tr>
      <w:tr w:rsidR="00BF02E3" w:rsidRPr="00BF02E3">
        <w:trPr>
          <w:jc w:val="center"/>
        </w:trPr>
        <w:tc>
          <w:tcPr>
            <w:tcW w:w="2041"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Biểu mẫu, số hóa</w:t>
            </w:r>
          </w:p>
        </w:tc>
        <w:tc>
          <w:tcPr>
            <w:tcW w:w="2835"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Dùng biểu mẫu/cách thức tại từng văn bản chuyên ngành.</w:t>
            </w:r>
          </w:p>
        </w:tc>
        <w:tc>
          <w:tcPr>
            <w:tcW w:w="2835"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Sử dụng hệ thống 07 mẫu và cách thức hồ sơ điện tử để thống nhất trình bày, theo dõi.</w:t>
            </w:r>
          </w:p>
        </w:tc>
        <w:tc>
          <w:tcPr>
            <w:tcW w:w="2268" w:type="dxa"/>
            <w:tcMar>
              <w:top w:w="45" w:type="dxa"/>
              <w:left w:w="45" w:type="dxa"/>
              <w:bottom w:w="45" w:type="dxa"/>
              <w:right w:w="45" w:type="dxa"/>
            </w:tcMar>
          </w:tcPr>
          <w:p w:rsidR="00FE1C34" w:rsidRPr="00BF02E3" w:rsidRDefault="00B72206" w:rsidP="009B4FEB">
            <w:pPr>
              <w:spacing w:before="120" w:after="120" w:line="240" w:lineRule="auto"/>
              <w:ind w:firstLine="4"/>
              <w:jc w:val="both"/>
              <w:rPr>
                <w:rFonts w:cs="Times New Roman"/>
                <w:szCs w:val="28"/>
              </w:rPr>
            </w:pPr>
            <w:r w:rsidRPr="00BF02E3">
              <w:rPr>
                <w:rFonts w:cs="Times New Roman"/>
                <w:color w:val="000000"/>
                <w:szCs w:val="28"/>
              </w:rPr>
              <w:t>Tích cực cho số hóa; phải khẳng định mẫu không làm phát sinh giấy tờ.</w:t>
            </w:r>
          </w:p>
        </w:tc>
      </w:tr>
    </w:tbl>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III. ĐÁNH GIÁ TÁC ĐỘNG CỦA PHƯƠNG ÁN BAN HÀNH NGHỊ QUYẾT</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1. Tác động pháp lý</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Tác động tích cực là hình thành cơ sở tổ chức thực hiện trực tiếp điểm c khoản 2 Điều 26 Luật Phát triển đô thị số 18/2026/QH16 và làm rõ trách nhiệm giữa các cơ quan. Rủi ro là quy định địa phương có thể vượt phạm vi nếu thay đổi yêu cầu chuyên ngành, hồ sơ hoặc thẩm quyền không được Điều 7 cho phép. Biện pháp kiểm soát là đối chiếu từng Điều với Nghị định số 208/2025/NĐ-CP, Luật Xây dựng số 135/2025/QH15 và Nghị định số 217/2026/NĐ-CP; chỉ điều chỉnh đối với di tích quốc gia, di tích quốc gia đặc biệt trong đúng phạm vi Luật Phát triển đô thị giao.</w:t>
      </w:r>
      <w:r w:rsidR="00355623">
        <w:rPr>
          <w:rFonts w:cs="Times New Roman"/>
          <w:color w:val="000000"/>
          <w:szCs w:val="28"/>
        </w:rPr>
      </w:r>
      <w:r w:rsidRPr="00BF02E3">
        <w:rPr>
          <w:rFonts w:cs="Times New Roman"/>
          <w:color w:val="000000"/>
          <w:szCs w:val="28"/>
        </w:rPr>
      </w:r>
      <w:r w:rsidRPr="00BF02E3">
        <w:rPr>
          <w:rFonts w:cs="Times New Roman"/>
          <w:color w:val="000000"/>
          <w:szCs w:val="28"/>
        </w:rPr>
      </w:r>
    </w:p>
    <w:p w:rsidR="005123F9" w:rsidRPr="00BF02E3" w:rsidRDefault="00271B52">
      <w:pPr>
        <w:spacing w:before="120" w:after="120" w:line="240" w:lineRule="auto"/>
        <w:ind w:firstLine="567"/>
        <w:jc w:val="both"/>
        <w:rPr>
          <w:rFonts w:cs="Times New Roman"/>
          <w:szCs w:val="28"/>
        </w:rPr>
      </w:pPr>
      <w:r w:rsidRPr="00BF02E3">
        <w:rPr>
          <w:color w:val="000000"/>
        </w:rPr>
        <w:t>Việc xây dựng và ban hành Nghị quyết còn chịu yêu cầu tăng cường tham vấn, công khai và trách nhiệm giải trình theo Nghị quyết số 39/2026/NQ-HĐND. Tác động hành chính đối với cơ quan soạn thảo là phải tổ chức tham vấn chính sách với Bộ Văn hóa, Thể thao và Du lịch, Ủy ban Mặt trận Tổ quốc Việt Nam Thành phố Hồ Chí Minh; đăng tải đầy đủ hồ sơ và lập văn bản tổng hợp kết quả tham vấn trước khi gửi thẩm định. Đây là chi phí tuân thủ của cơ quan nhà nước trong quy trình xây dựng văn bản, không làm phát sinh thủ tục hoặc nghĩa vụ mới đối với tổ chức, cá nhân thực hiện dự án tu bổ di tích.</w:t>
      </w:r>
    </w:p>
    <w:p>
      <w:pPr/>
      <w:r>
        <w:rPr>
          <w:color w:val="000000"/>
        </w:rPr>
        <w:t>Đối với tham vấn trong quá trình giải quyết từng hồ sơ di tích, phương án dự thảo xác định thời hạn lấy ý kiến Bộ Văn hóa, Thể thao và Du lịch là 05 ngày làm việc kể từ ngày Bộ nhận được văn bản tham vấn. Hết thời hạn mà chưa nhận được văn bản ý kiến của Bộ, hồ sơ tiếp tục được xử lý trên cơ sở tài liệu chứng minh đã gửi tham vấn; trường hợp ý kiến Bộ đến trước thời điểm Chủ tịch Ủy ban nhân dân Thành phố quyết định thì phải được cập nhật, tiếp thu, giải trình. Tác động tích cực là tránh kéo dài không xác định thời hạn xử lý của Thành phố; rủi ro là ý kiến trung ương đến sau thời hạn, được kiểm soát bằng nghĩa vụ cập nhật trước thời điểm quyết định.</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2. Tác động hành chính</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Một đầu mối tiếp nhận, mốc thời hạn rõ và cách thức hồ sơ điện tử có khả năng giảm luân chuyển, giảm cách hiểu khác nhau và tăng khả năng theo dõi tiến độ. Tác động bất lợi là tăng khối lượng chuyên môn tại Sở Văn hóa và Thể thao. Cần ban hành quy trình nghiệp vụ nội bộ, phân công trách nhiệm và cơ chế phối hợp để bảo đảm thời hạn.</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3. Tác động kinh tế và chi phí tuân thủ</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Dự thảo không quy định phí, lệ phí mới. Việc rút ngắn thời hạn, giảm khâu luân chuyển có thể làm giảm chi phí thời gian, liên hệ, sao gửi và chờ đợi của chủ đầu tư. Hiện chưa có số liệu đủ tin cậy để lượng hóa thành tiền; phần định lượng sẽ cập nhật khi có số liệu thống kê hồ sơ, số lần bổ sung và thời gian xử lý thực tế.</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4. Tác động xã hội, văn hóa và bảo tồn</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Quy trình rõ ràng có thể giúp xử lý kịp thời các dự án tu bổ, giảm nguy cơ tiếp tục xuống cấp và tạo cơ sở công khai cho cộng đồng. Đồng thời, việc phân định trách nhiệm chuyên ngành giúp duy trì yêu cầu bảo tồn tối đa yếu tố gốc, tránh ưu tiên tiến độ đầu tư làm giảm yêu cầu bảo tồn.</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5. Tác động về khoa học, công nghệ và chuyển đổi số</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Hồ sơ PDF, QR Code, dữ liệu điện tử và lưu trữ theo vòng đời can thiệp tạo điều kiện tra cứu, chia sẻ và kiểm soát lịch sử tu bổ. Tác động này tích cực nếu hệ thống bảo đảm xác thực, an toàn thông tin, lưu trữ lâu dài và không biến phương thức điện tử thành thành phần hồ sơ bổ sung.</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6. Tác động đến quyền, lợi ích hợp pháp và bình đẳng</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 xml:space="preserve">Dự thảo không đặt tiêu chí phân biệt theo giới, dân tộc, tôn giáo hoặc nhóm xã hội. Việc bảo tồn di tích góp phần bảo đảm quyền tiếp cận, hưởng thụ văn hóa; quá </w:t>
      </w:r>
      <w:r w:rsidRPr="00BF02E3">
        <w:rPr>
          <w:rFonts w:cs="Times New Roman"/>
          <w:color w:val="000000"/>
          <w:szCs w:val="28"/>
        </w:rPr>
        <w:lastRenderedPageBreak/>
        <w:t>trình thực hiện phải bảo đảm quyền, lợi ích hợp pháp của chủ sở hữu, tổ chức quản lý, cộng đồng và các chủ thể liên quan.</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7. Tác động quốc phòng, an ninh</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Dự thảo không điều chỉnh lĩnh vực quốc phòng, an ninh. Trường hợp hồ sơ, dữ liệu di tích có nội dung thuộc bí mật nhà nước hoặc liên quan quốc phòng, an ninh thì việc công khai, số hóa và chia sẻ phải tuân thủ pháp luật chuyên ngành.</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IV. ĐÁNH GIÁ TÁC ĐỘNG CỤ THỂ ĐỐI VỚI THỦ TỤC HÀNH CHÍNH</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Qua rà soát, 05 nhóm thủ tục hành chính có nội dung điều chỉnh, đơn giản hóa gồm: quy hoạch di tích (bao gồm trường hợp cụm di tích quốc gia với di tích cấp Thành phố tạo thành một quần thể phân bố trong cùng khu vực địa lý, trong đó di tích cấp Thành phố chỉ được xem xét trong tổng thể quy hoạch); xác nhận tình trạng xuống cấp/ý kiến để lập dự án; BCNCKT/BCKTKT và điều chỉnh; tu sửa cấp thiết; TKBVTC và điều chỉnh TKBVTC đối với di tích quốc gia, di tích quốc gia đặc biệt. Tác động chung là giảm khâu luân chuyển và rút thời hạn; rủi ro chung là thay đổi thẩm quyền hoặc hình thành bước thủ tục mới nếu dự thảo không làm rõ quan hệ với Nghị định số 208/2025/NĐ-CP.</w:t>
      </w:r>
      <w:r w:rsidR="009B4FEB" w:rsidRPr="00BF02E3">
        <w:rPr>
          <w:rFonts w:cs="Times New Roman"/>
          <w:color w:val="000000"/>
          <w:szCs w:val="28"/>
        </w:rPr>
      </w:r>
      <w:r w:rsidRPr="00BF02E3">
        <w:rPr>
          <w:rFonts w:cs="Times New Roman"/>
          <w:color w:val="000000"/>
          <w:szCs w:val="28"/>
        </w:rPr>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Đối với Điều 11, tác động cần kiểm soát đặc biệt là nguy cơ tồn tại song song với thủ tục xác nhận di tích xuống cấp tại Điều 22 Nghị định số 208/2025/NĐ-CP. Phương án lựa chọn phải bảo đảm chỉ có một cơ chế chuẩn bị lập dự án.</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Đối với Điều 28 và khoản 3 Điều 29, tác động tích cực là chủ đầu tư gửi hồ sơ trực tiếp đến Sở và thời hạn thẩm định được rút gọn; sau thẩm định chuyên ngành, dự thảo dẫn chiếu pháp luật xây dựng thay vì thiết lập thêm một vòng tiếp nhận/phê duyệt tại Sở. Đây là phương án đơn giản hóa nếu căn cứ thẩm quyền được xác định đầy đủ.</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V. NGUỒN LỰC VÀ ĐIỀU KIỆN BẢO ĐẢM THỰC HIỆN</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1. Nhân lực: sử dụng bộ máy hiện có của Sở Văn hóa và Thể thao, các sở, ngành, UBND cấp xã và cơ quan quản lý di tích; cần bố trí đủ chuyên viên có năng lực chuyên ngành di sản, xây dựng quy trình phối hợp và trách nhiệm người xử lý hồ sơ.</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2. Kinh phí: dự thảo không làm phát sinh một chương trình chi ngân sách độc lập. Kinh phí lập, thẩm tra, thẩm định, phê duyệt hồ sơ của từng nhiệm vụ, dự án thực hiện theo pháp luật về xây dựng, di sản văn hóa, đầu tư công và ngân sách nhà nước; kinh phí tổ chức thực hiện được bố trí trong dự toán của cơ quan, đơn vị theo quy định.</w:t>
      </w:r>
    </w:p>
    <w:p w:rsidR="00FE1C34" w:rsidRPr="00BF02E3" w:rsidRDefault="00B72206" w:rsidP="00D262EF">
      <w:pPr>
        <w:spacing w:before="120" w:after="120" w:line="240" w:lineRule="auto"/>
        <w:ind w:firstLine="567"/>
        <w:jc w:val="both"/>
        <w:rPr>
          <w:rFonts w:cs="Times New Roman"/>
          <w:szCs w:val="28"/>
        </w:rPr>
      </w:pPr>
      <w:r w:rsidRPr="00BF02E3">
        <w:rPr>
          <w:rFonts w:cs="Times New Roman"/>
          <w:color w:val="000000"/>
          <w:szCs w:val="28"/>
        </w:rPr>
        <w:t>3. Hạ tầng: cần duy trì hệ thống tiếp nhận hồ sơ điện tử, lưu trữ dữ liệu, bảo mật và khả năng kết nối giữa các cơ quan; không yêu cầu thành lập tổ chức mới.</w:t>
      </w:r>
    </w:p>
    <w:p w:rsidR="00FE1C34" w:rsidRPr="00BF02E3" w:rsidRDefault="00B72206" w:rsidP="00D262EF">
      <w:pPr>
        <w:spacing w:before="120" w:after="120" w:line="240" w:lineRule="auto"/>
        <w:ind w:firstLine="567"/>
        <w:jc w:val="both"/>
        <w:rPr>
          <w:rFonts w:cs="Times New Roman"/>
          <w:szCs w:val="28"/>
        </w:rPr>
      </w:pPr>
      <w:r w:rsidRPr="00BF02E3">
        <w:rPr>
          <w:rFonts w:cs="Times New Roman"/>
          <w:b/>
          <w:color w:val="000000"/>
          <w:szCs w:val="28"/>
        </w:rPr>
        <w:t>VI. KẾT LUẬN VÀ PHƯƠNG ÁN LỰA CHỌN</w:t>
      </w:r>
    </w:p>
    <w:p w:rsidR="00FE1C34" w:rsidRPr="00BF02E3" w:rsidRDefault="00B72206" w:rsidP="00D262EF">
      <w:pPr>
        <w:spacing w:before="120" w:after="360" w:line="240" w:lineRule="auto"/>
        <w:ind w:firstLine="567"/>
        <w:jc w:val="both"/>
        <w:rPr>
          <w:rFonts w:cs="Times New Roman"/>
          <w:szCs w:val="28"/>
        </w:rPr>
      </w:pPr>
      <w:r w:rsidRPr="00BF02E3">
        <w:rPr>
          <w:rFonts w:cs="Times New Roman"/>
          <w:color w:val="000000"/>
          <w:szCs w:val="28"/>
        </w:rPr>
        <w:t>Phương án ban hành Nghị quyết được lựa chọn vì đáp ứng trực tiếp yêu cầu của điểm c khoản 2 Điều 26 Luật Phát triển đô thị số 18/2026/QH16, tạo cơ sở tổ chức trình tự để Chủ tịch Ủy ban nhân dân Thành phố thực hiện thẩm quyền theo hình thức phù hợp với từng cấp di tích: phê duyệt Báo cáo nghiên cứu khả thi, Báo cáo kinh tế - kỹ thuật đối với di tích quốc gia đặc biệt; có văn bản chấp thuận về bảo quản, tu bổ, phục hồi đối với di tích quốc gia trước khi cơ quan, người có thẩm quyền phê duyệt dự án, quyết định đầu tư; đồng thời có khả năng đơn giản hóa một số thủ tục hiện hành. Điều kiện kèm theo là: chỉ điều chỉnh trong giới hạn khoản 2 Điều 7; không bổ sung hồ sơ, điều kiện, phí, lệ phí hoặc kéo dài thời gian; làm rõ quan hệ Điều 11 với thủ tục xác nhận xuống cấp; phân định thẩm định di sản với xây dựng; bảo đảm nguồn lực để thực hiện các thời hạn rút gọn và cơ chế tham vấn 05 ngày.</w:t>
      </w:r>
      <w:r w:rsidR="00355623">
        <w:rPr>
          <w:rFonts w:cs="Times New Roman"/>
          <w:color w:val="000000"/>
          <w:szCs w:val="28"/>
        </w:rPr>
      </w:r>
      <w:r w:rsidRPr="00BF02E3">
        <w:rPr>
          <w:rFonts w:cs="Times New Roman"/>
          <w:color w:val="000000"/>
          <w:szCs w:val="28"/>
        </w:rPr>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rsidR="00FE1C34" w:rsidRPr="00BF02E3">
        <w:trPr>
          <w:jc w:val="center"/>
        </w:trPr>
        <w:tc>
          <w:tcPr>
            <w:tcW w:w="4702" w:type="dxa"/>
          </w:tcPr>
          <w:p w:rsidR="00251F7A" w:rsidRPr="00BF02E3" w:rsidRDefault="00D262EF" w:rsidP="00251F7A">
            <w:pPr>
              <w:spacing w:after="0" w:line="240" w:lineRule="auto"/>
              <w:contextualSpacing/>
              <w:rPr>
                <w:rFonts w:cs="Times New Roman"/>
                <w:sz w:val="24"/>
                <w:szCs w:val="24"/>
              </w:rPr>
            </w:pPr>
            <w:r w:rsidRPr="00BF02E3">
              <w:rPr>
                <w:rFonts w:cs="Times New Roman"/>
                <w:b/>
                <w:i/>
                <w:color w:val="000000"/>
                <w:sz w:val="24"/>
                <w:szCs w:val="24"/>
              </w:rPr>
              <w:t>Nơi nhận:</w:t>
            </w:r>
            <w:r w:rsidRPr="00BF02E3">
              <w:rPr>
                <w:rFonts w:cs="Times New Roman"/>
                <w:b/>
                <w:color w:val="000000"/>
                <w:sz w:val="24"/>
                <w:szCs w:val="24"/>
              </w:rPr>
              <w:br/>
            </w:r>
            <w:r w:rsidR="00251F7A" w:rsidRPr="00BF02E3">
              <w:rPr>
                <w:rFonts w:cs="Times New Roman"/>
                <w:color w:val="000000"/>
                <w:sz w:val="24"/>
                <w:szCs w:val="24"/>
              </w:rPr>
              <w:t>- Như trên;</w:t>
            </w:r>
            <w:r w:rsidR="00251F7A" w:rsidRPr="00BF02E3">
              <w:rPr>
                <w:rFonts w:cs="Times New Roman"/>
                <w:color w:val="000000"/>
                <w:sz w:val="24"/>
                <w:szCs w:val="24"/>
              </w:rPr>
              <w:br/>
              <w:t>- Sở Tư pháp;</w:t>
            </w:r>
            <w:r w:rsidR="00251F7A" w:rsidRPr="00BF02E3">
              <w:rPr>
                <w:rFonts w:cs="Times New Roman"/>
                <w:color w:val="000000"/>
                <w:sz w:val="24"/>
                <w:szCs w:val="24"/>
              </w:rPr>
              <w:br/>
              <w:t xml:space="preserve">- Ban Giám đốc Sở </w:t>
            </w:r>
            <w:r w:rsidR="00251F7A" w:rsidRPr="00BF02E3">
              <w:rPr>
                <w:rFonts w:cs="Times New Roman"/>
                <w:i/>
                <w:color w:val="000000"/>
                <w:sz w:val="24"/>
                <w:szCs w:val="24"/>
              </w:rPr>
              <w:t>(để báo cáo)</w:t>
            </w:r>
            <w:r w:rsidR="00251F7A" w:rsidRPr="00BF02E3">
              <w:rPr>
                <w:rFonts w:cs="Times New Roman"/>
                <w:color w:val="000000"/>
                <w:sz w:val="24"/>
                <w:szCs w:val="24"/>
              </w:rPr>
              <w:t>;</w:t>
            </w:r>
          </w:p>
          <w:p w:rsidR="00251F7A" w:rsidRPr="00BF02E3" w:rsidRDefault="00251F7A" w:rsidP="00251F7A">
            <w:pPr>
              <w:spacing w:after="0" w:line="240" w:lineRule="auto"/>
              <w:contextualSpacing/>
              <w:rPr>
                <w:rFonts w:cs="Times New Roman"/>
                <w:sz w:val="24"/>
                <w:szCs w:val="24"/>
              </w:rPr>
            </w:pPr>
            <w:r w:rsidRPr="00BF02E3">
              <w:rPr>
                <w:rFonts w:cs="Times New Roman"/>
                <w:color w:val="000000"/>
                <w:sz w:val="24"/>
                <w:szCs w:val="24"/>
              </w:rPr>
              <w:t>- P.KH-TC;</w:t>
            </w:r>
          </w:p>
          <w:p w:rsidR="00FE1C34" w:rsidRPr="00BF02E3" w:rsidRDefault="00251F7A" w:rsidP="00251F7A">
            <w:pPr>
              <w:spacing w:after="0" w:line="240" w:lineRule="auto"/>
              <w:contextualSpacing/>
            </w:pPr>
            <w:r w:rsidRPr="00BF02E3">
              <w:rPr>
                <w:rFonts w:cs="Times New Roman"/>
                <w:color w:val="000000"/>
                <w:sz w:val="24"/>
                <w:szCs w:val="24"/>
              </w:rPr>
              <w:t>- P.KT-PC;</w:t>
            </w:r>
            <w:r w:rsidRPr="00BF02E3">
              <w:rPr>
                <w:rFonts w:cs="Times New Roman"/>
                <w:color w:val="000000"/>
                <w:sz w:val="24"/>
                <w:szCs w:val="24"/>
              </w:rPr>
              <w:br/>
              <w:t>- Lưu: VT, DSVH.</w:t>
            </w:r>
            <w:r w:rsidR="00B72206" w:rsidRPr="00BF02E3">
              <w:rPr>
                <w:color w:val="000000"/>
                <w:sz w:val="23"/>
              </w:rPr>
              <w:br/>
            </w:r>
          </w:p>
        </w:tc>
        <w:tc>
          <w:tcPr>
            <w:tcW w:w="4702" w:type="dxa"/>
          </w:tcPr>
          <w:p w:rsidR="00FE1C34" w:rsidRPr="00BF02E3" w:rsidRDefault="00B72206" w:rsidP="00D262EF">
            <w:pPr>
              <w:jc w:val="center"/>
            </w:pPr>
            <w:r w:rsidRPr="00BF02E3">
              <w:rPr>
                <w:b/>
                <w:color w:val="000000"/>
              </w:rPr>
              <w:t>KT. GIÁM ĐỐC</w:t>
            </w:r>
            <w:r w:rsidRPr="00BF02E3">
              <w:rPr>
                <w:b/>
                <w:color w:val="000000"/>
              </w:rPr>
              <w:br/>
              <w:t>PHÓ GIÁM ĐỐC</w:t>
            </w:r>
            <w:r w:rsidRPr="00BF02E3">
              <w:rPr>
                <w:b/>
                <w:color w:val="000000"/>
              </w:rPr>
              <w:br/>
            </w:r>
            <w:r w:rsidRPr="00BF02E3">
              <w:rPr>
                <w:b/>
                <w:color w:val="000000"/>
              </w:rPr>
              <w:br/>
            </w:r>
            <w:r w:rsidRPr="00BF02E3">
              <w:rPr>
                <w:b/>
                <w:color w:val="000000"/>
                <w:sz w:val="27"/>
              </w:rPr>
              <w:br/>
            </w:r>
            <w:r w:rsidRPr="00BF02E3">
              <w:rPr>
                <w:b/>
                <w:color w:val="000000"/>
                <w:sz w:val="27"/>
              </w:rPr>
              <w:br/>
            </w:r>
          </w:p>
        </w:tc>
      </w:tr>
    </w:tbl>
    <w:p w:rsidR="00B72206" w:rsidRPr="00BF02E3" w:rsidRDefault="00B72206"/>
    <w:sectPr w:rsidR="00B72206" w:rsidRPr="00BF02E3" w:rsidSect="00D262EF">
      <w:headerReference w:type="default" r:id="rId8"/>
      <w:footerReference w:type="default" r:id="rId9"/>
      <w:pgSz w:w="12240" w:h="15840"/>
      <w:pgMar w:top="1418" w:right="1134" w:bottom="1418"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41C" w:rsidRDefault="00A6241C" w:rsidP="00D262EF">
      <w:pPr>
        <w:spacing w:after="0" w:line="240" w:lineRule="auto"/>
      </w:pPr>
      <w:r>
        <w:separator/>
      </w:r>
    </w:p>
  </w:endnote>
  <w:endnote w:type="continuationSeparator" w:id="0">
    <w:p w:rsidR="00A6241C" w:rsidRDefault="00A6241C" w:rsidP="00D26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3F9" w:rsidRDefault="005123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41C" w:rsidRDefault="00A6241C" w:rsidP="00D262EF">
      <w:pPr>
        <w:spacing w:after="0" w:line="240" w:lineRule="auto"/>
      </w:pPr>
      <w:r>
        <w:separator/>
      </w:r>
    </w:p>
  </w:footnote>
  <w:footnote w:type="continuationSeparator" w:id="0">
    <w:p w:rsidR="00A6241C" w:rsidRDefault="00A6241C" w:rsidP="00D26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2638062"/>
      <w:docPartObj>
        <w:docPartGallery w:val="Page Numbers (Top of Page)"/>
        <w:docPartUnique/>
      </w:docPartObj>
    </w:sdtPr>
    <w:sdtEndPr>
      <w:rPr>
        <w:noProof/>
        <w:sz w:val="24"/>
      </w:rPr>
    </w:sdtEndPr>
    <w:sdtContent>
      <w:p w:rsidR="00D262EF" w:rsidRPr="00D262EF" w:rsidRDefault="00D262EF">
        <w:pPr>
          <w:pStyle w:val="Header"/>
          <w:jc w:val="center"/>
          <w:rPr>
            <w:sz w:val="24"/>
          </w:rPr>
        </w:pPr>
        <w:r w:rsidRPr="00D262EF">
          <w:rPr>
            <w:sz w:val="24"/>
          </w:rPr>
          <w:fldChar w:fldCharType="begin"/>
        </w:r>
        <w:r w:rsidRPr="00D262EF">
          <w:rPr>
            <w:sz w:val="24"/>
          </w:rPr>
          <w:instrText xml:space="preserve"> PAGE   \* MERGEFORMAT </w:instrText>
        </w:r>
        <w:r w:rsidRPr="00D262EF">
          <w:rPr>
            <w:sz w:val="24"/>
          </w:rPr>
          <w:fldChar w:fldCharType="separate"/>
        </w:r>
        <w:r w:rsidR="00355623">
          <w:rPr>
            <w:noProof/>
            <w:sz w:val="24"/>
          </w:rPr>
          <w:t>2</w:t>
        </w:r>
        <w:r w:rsidRPr="00D262EF">
          <w:rPr>
            <w:noProof/>
            <w:sz w:val="24"/>
          </w:rPr>
          <w:fldChar w:fldCharType="end"/>
        </w:r>
      </w:p>
    </w:sdtContent>
  </w:sdt>
  <w:p w:rsidR="00D262EF" w:rsidRDefault="00D262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51F7A"/>
    <w:rsid w:val="00271B52"/>
    <w:rsid w:val="0029639D"/>
    <w:rsid w:val="00326F90"/>
    <w:rsid w:val="00355623"/>
    <w:rsid w:val="005123F9"/>
    <w:rsid w:val="009B4FEB"/>
    <w:rsid w:val="00A5724C"/>
    <w:rsid w:val="00A6241C"/>
    <w:rsid w:val="00AA1D8D"/>
    <w:rsid w:val="00B47730"/>
    <w:rsid w:val="00B72206"/>
    <w:rsid w:val="00BF02E3"/>
    <w:rsid w:val="00CB0664"/>
    <w:rsid w:val="00D262EF"/>
    <w:rsid w:val="00D874D0"/>
    <w:rsid w:val="00FC693F"/>
    <w:rsid w:val="00FE1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35AEAC4-D079-4D93-866C-223EFB3E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4F0AC-152F-4EC3-9220-C1B074B11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2026-09-07T09:11:00Z</dcterms:created>
  <dcterms:modified xsi:type="dcterms:W3CDTF">2026-09-08T00:51:00Z</dcterms:modified>
  <cp:category/>
</cp:coreProperties>
</file>