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jc w:val="center"/>
        <w:tblLayout w:type="fixed"/>
        <w:tblLook w:val="04A0" w:firstRow="1" w:lastRow="0" w:firstColumn="1" w:lastColumn="0" w:noHBand="0" w:noVBand="1"/>
      </w:tblPr>
      <w:tblGrid>
        <w:gridCol w:w="4077"/>
        <w:gridCol w:w="5846"/>
      </w:tblGrid>
      <w:tr w:rsidR="00F044E7" w:rsidRPr="00F044E7" w:rsidTr="00194E28">
        <w:trPr>
          <w:jc w:val="center"/>
        </w:trPr>
        <w:tc>
          <w:tcPr>
            <w:tcW w:w="4077" w:type="dxa"/>
          </w:tcPr>
          <w:p w:rsidR="002D503D" w:rsidRPr="00F044E7" w:rsidRDefault="002D503D" w:rsidP="00194E28">
            <w:pPr>
              <w:spacing w:after="0" w:line="240" w:lineRule="auto"/>
              <w:ind w:firstLine="8"/>
              <w:jc w:val="center"/>
              <w:rPr>
                <w:rFonts w:cs="Times New Roman"/>
                <w:sz w:val="26"/>
                <w:szCs w:val="26"/>
              </w:rPr>
            </w:pPr>
            <w:bookmarkStart w:id="0" w:name="_GoBack"/>
            <w:bookmarkEnd w:id="0"/>
            <w:r w:rsidRPr="00F044E7">
              <w:rPr>
                <w:rFonts w:cs="Times New Roman"/>
                <w:color w:val="000000"/>
                <w:sz w:val="26"/>
                <w:szCs w:val="26"/>
              </w:rPr>
              <w:t>ỦY BAN NHÂN DÂN</w:t>
            </w:r>
          </w:p>
          <w:p w:rsidR="002D503D" w:rsidRPr="00F044E7" w:rsidRDefault="002D503D" w:rsidP="00194E28">
            <w:pPr>
              <w:spacing w:after="0" w:line="240" w:lineRule="auto"/>
              <w:ind w:firstLine="8"/>
              <w:jc w:val="center"/>
              <w:rPr>
                <w:rFonts w:cs="Times New Roman"/>
                <w:sz w:val="26"/>
                <w:szCs w:val="26"/>
              </w:rPr>
            </w:pPr>
            <w:r w:rsidRPr="00F044E7">
              <w:rPr>
                <w:rFonts w:cs="Times New Roman"/>
                <w:color w:val="000000"/>
                <w:sz w:val="26"/>
                <w:szCs w:val="26"/>
              </w:rPr>
              <w:t>THÀNH PHỐ HỒ CHÍ MINH</w:t>
            </w:r>
          </w:p>
          <w:p w:rsidR="002D503D" w:rsidRPr="00F044E7" w:rsidRDefault="002D503D" w:rsidP="00194E28">
            <w:pPr>
              <w:spacing w:after="0" w:line="240" w:lineRule="auto"/>
              <w:ind w:firstLine="8"/>
              <w:jc w:val="center"/>
              <w:rPr>
                <w:rFonts w:cs="Times New Roman"/>
                <w:b/>
                <w:bCs/>
                <w:w w:val="95"/>
                <w:sz w:val="26"/>
                <w:szCs w:val="26"/>
              </w:rPr>
            </w:pPr>
            <w:r w:rsidRPr="00F044E7">
              <w:rPr>
                <w:rFonts w:cs="Times New Roman"/>
                <w:noProof/>
                <w:color w:val="000000"/>
                <w:sz w:val="26"/>
                <w:szCs w:val="26"/>
              </w:rPr>
              <mc:AlternateContent>
                <mc:Choice Requires="wps">
                  <w:drawing>
                    <wp:anchor distT="0" distB="0" distL="114300" distR="114300" simplePos="0" relativeHeight="251660288" behindDoc="0" locked="0" layoutInCell="1" allowOverlap="1" wp14:anchorId="072C579B" wp14:editId="4B2982F1">
                      <wp:simplePos x="0" y="0"/>
                      <wp:positionH relativeFrom="margin">
                        <wp:posOffset>772160</wp:posOffset>
                      </wp:positionH>
                      <wp:positionV relativeFrom="paragraph">
                        <wp:posOffset>256540</wp:posOffset>
                      </wp:positionV>
                      <wp:extent cx="970280" cy="0"/>
                      <wp:effectExtent l="0" t="0" r="2032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noChangeShapeType="1"/>
                            </wps:cNvCnPr>
                            <wps:spPr bwMode="auto">
                              <a:xfrm>
                                <a:off x="0" y="0"/>
                                <a:ext cx="970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5FF9A0" id="_x0000_t32" coordsize="21600,21600" o:spt="32" o:oned="t" path="m,l21600,21600e" filled="f">
                      <v:path arrowok="t" fillok="f" o:connecttype="none"/>
                      <o:lock v:ext="edit" shapetype="t"/>
                    </v:shapetype>
                    <v:shape id="Straight Arrow Connector 2" o:spid="_x0000_s1026" type="#_x0000_t32" style="position:absolute;margin-left:60.8pt;margin-top:20.2pt;width:76.4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">
                      <v:path arrowok="f"/>
                      <w10:wrap anchorx="margin"/>
                    </v:shape>
                  </w:pict>
                </mc:Fallback>
              </mc:AlternateContent>
            </w:r>
            <w:r w:rsidRPr="00F044E7">
              <w:rPr>
                <w:rFonts w:cs="Times New Roman"/>
                <w:b/>
                <w:color w:val="000000"/>
                <w:sz w:val="26"/>
              </w:rPr>
              <w:t>SỞ VĂN HÓA VÀ THỂ THAO</w:t>
            </w:r>
            <w:r w:rsidRPr="00F044E7">
              <w:rPr>
                <w:rFonts w:cs="Times New Roman"/>
                <w:b/>
                <w:color w:val="000000"/>
                <w:sz w:val="26"/>
              </w:rPr>
              <w:br/>
            </w:r>
            <w:r w:rsidRPr="00F044E7">
              <w:rPr>
                <w:rFonts w:cs="Times New Roman"/>
                <w:noProof/>
                <w:color w:val="000000"/>
                <w:sz w:val="26"/>
                <w:szCs w:val="26"/>
              </w:rPr>
              <mc:AlternateContent>
                <mc:Choice Requires="wps">
                  <w:drawing>
                    <wp:anchor distT="0" distB="0" distL="114300" distR="114300" simplePos="0" relativeHeight="251659264" behindDoc="0" locked="0" layoutInCell="1" allowOverlap="1" wp14:anchorId="129122C8" wp14:editId="64F01437">
                      <wp:simplePos x="0" y="0"/>
                      <wp:positionH relativeFrom="column">
                        <wp:posOffset>0</wp:posOffset>
                      </wp:positionH>
                      <wp:positionV relativeFrom="paragraph">
                        <wp:posOffset>0</wp:posOffset>
                      </wp:positionV>
                      <wp:extent cx="635000" cy="635000"/>
                      <wp:effectExtent l="9525" t="9525" r="12700" b="12700"/>
                      <wp:wrapNone/>
                      <wp:docPr id="3" name="AutoShape 6"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Arrowheads="1" noChangeShapeType="1"/>
                            </wps:cNvCnPr>
                            <wps:spPr bwMode="auto">
                              <a:xfrm>
                                <a:off x="0" y="0"/>
                                <a:ext cx="635000" cy="635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2C21CF" id="AutoShape 6" o:spid="_x0000_s1026" type="#_x0000_t32"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">
                      <v:path arrowok="f"/>
                      <o:lock v:ext="edit" selection="t"/>
                    </v:shape>
                  </w:pict>
                </mc:Fallback>
              </mc:AlternateContent>
            </w:r>
          </w:p>
          <w:p w:rsidR="002D503D" w:rsidRPr="00F044E7" w:rsidRDefault="002D503D" w:rsidP="00194E28">
            <w:pPr>
              <w:spacing w:after="0" w:line="240" w:lineRule="auto"/>
              <w:ind w:firstLine="567"/>
              <w:jc w:val="both"/>
              <w:rPr>
                <w:rFonts w:cs="Times New Roman"/>
                <w:sz w:val="26"/>
                <w:szCs w:val="26"/>
              </w:rPr>
            </w:pPr>
            <w:r w:rsidRPr="00F044E7">
              <w:rPr>
                <w:rFonts w:cs="Times New Roman"/>
                <w:noProof/>
                <w:color w:val="000000"/>
                <w:sz w:val="26"/>
                <w:szCs w:val="26"/>
              </w:rPr>
              <mc:AlternateContent>
                <mc:Choice Requires="wps">
                  <w:drawing>
                    <wp:anchor distT="0" distB="0" distL="114300" distR="114300" simplePos="0" relativeHeight="251661312" behindDoc="0" locked="0" layoutInCell="1" allowOverlap="1" wp14:anchorId="69447FB5" wp14:editId="03E43B05">
                      <wp:simplePos x="0" y="0"/>
                      <wp:positionH relativeFrom="column">
                        <wp:posOffset>600710</wp:posOffset>
                      </wp:positionH>
                      <wp:positionV relativeFrom="paragraph">
                        <wp:posOffset>189230</wp:posOffset>
                      </wp:positionV>
                      <wp:extent cx="1211580" cy="323850"/>
                      <wp:effectExtent l="0" t="0" r="2667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1580" cy="323850"/>
                              </a:xfrm>
                              <a:prstGeom prst="rect">
                                <a:avLst/>
                              </a:prstGeom>
                              <a:solidFill>
                                <a:srgbClr val="FFFFFF"/>
                              </a:solidFill>
                              <a:ln w="9525">
                                <a:solidFill>
                                  <a:srgbClr val="000000"/>
                                </a:solidFill>
                                <a:miter lim="800000"/>
                                <a:headEnd/>
                                <a:tailEnd/>
                              </a:ln>
                            </wps:spPr>
                            <wps:txbx>
                              <w:txbxContent>
                                <w:p w:rsidR="002D503D" w:rsidRDefault="002D503D" w:rsidP="002D503D">
                                  <w:pPr>
                                    <w:jc w:val="center"/>
                                    <w:rPr>
                                      <w:b/>
                                      <w:bCs/>
                                    </w:rPr>
                                  </w:pPr>
                                  <w:r>
                                    <w:rPr>
                                      <w:b/>
                                      <w:bCs/>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447FB5" id="Text Box 2" o:spid="_x0000_s1026" style="position:absolute;left:0;text-align:left;margin-left:47.3pt;margin-top:14.9pt;width:95.4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">
                      <v:textbox>
                        <w:txbxContent>
                          <w:p w:rsidR="002D503D" w:rsidRDefault="002D503D" w:rsidP="002D503D">
                            <w:pPr>
                              <w:jc w:val="center"/>
                              <w:rPr>
                                <w:b/>
                                <w:bCs/>
                              </w:rPr>
                            </w:pPr>
                            <w:r>
                              <w:rPr>
                                <w:b/>
                                <w:bCs/>
                              </w:rPr>
                              <w:t>Dự thảo</w:t>
                            </w:r>
                          </w:p>
                        </w:txbxContent>
                      </v:textbox>
                    </v:rect>
                  </w:pict>
                </mc:Fallback>
              </mc:AlternateContent>
            </w:r>
            <w:r w:rsidRPr="00F044E7">
              <w:rPr>
                <w:rFonts w:cs="Times New Roman"/>
                <w:color w:val="000000"/>
                <w:sz w:val="26"/>
                <w:szCs w:val="26"/>
              </w:rPr>
              <w:tab/>
              <w:t xml:space="preserve">Số:            </w:t>
            </w:r>
          </w:p>
          <w:p w:rsidR="002D503D" w:rsidRPr="00F044E7" w:rsidRDefault="002D503D" w:rsidP="00194E28">
            <w:pPr>
              <w:spacing w:after="0" w:line="240" w:lineRule="auto"/>
              <w:ind w:firstLine="567"/>
              <w:jc w:val="both"/>
              <w:rPr>
                <w:rFonts w:cs="Times New Roman"/>
                <w:w w:val="90"/>
                <w:sz w:val="26"/>
                <w:szCs w:val="26"/>
              </w:rPr>
            </w:pPr>
          </w:p>
        </w:tc>
        <w:tc>
          <w:tcPr>
            <w:tcW w:w="5846" w:type="dxa"/>
          </w:tcPr>
          <w:p w:rsidR="002D503D" w:rsidRPr="00F044E7" w:rsidRDefault="002D503D" w:rsidP="00194E28">
            <w:pPr>
              <w:keepNext/>
              <w:spacing w:after="0" w:line="240" w:lineRule="auto"/>
              <w:ind w:firstLine="39"/>
              <w:jc w:val="center"/>
              <w:rPr>
                <w:rFonts w:cs="Times New Roman"/>
                <w:b/>
                <w:bCs/>
                <w:sz w:val="26"/>
                <w:szCs w:val="26"/>
              </w:rPr>
            </w:pPr>
            <w:r w:rsidRPr="00F044E7">
              <w:rPr>
                <w:rFonts w:cs="Times New Roman"/>
                <w:b/>
                <w:bCs/>
                <w:color w:val="000000"/>
                <w:sz w:val="26"/>
                <w:szCs w:val="26"/>
              </w:rPr>
              <w:t>CỘNG HÒA XÃ HỘI CHỦ NGHĨA VIỆT NAM</w:t>
            </w:r>
          </w:p>
          <w:p w:rsidR="002D503D" w:rsidRPr="00F044E7" w:rsidRDefault="002D503D" w:rsidP="00194E28">
            <w:pPr>
              <w:keepNext/>
              <w:spacing w:after="0" w:line="240" w:lineRule="auto"/>
              <w:ind w:firstLine="39"/>
              <w:jc w:val="center"/>
              <w:rPr>
                <w:rFonts w:cs="Times New Roman"/>
                <w:b/>
                <w:bCs/>
                <w:sz w:val="26"/>
                <w:szCs w:val="26"/>
              </w:rPr>
            </w:pPr>
            <w:r w:rsidRPr="00F044E7">
              <w:rPr>
                <w:rFonts w:cs="Times New Roman"/>
                <w:b/>
                <w:bCs/>
                <w:color w:val="000000"/>
                <w:sz w:val="26"/>
                <w:szCs w:val="26"/>
              </w:rPr>
              <w:t>Độc lập – Tự do – Hạnh phúc</w:t>
            </w:r>
          </w:p>
          <w:p w:rsidR="002D503D" w:rsidRPr="00F044E7" w:rsidRDefault="002D503D" w:rsidP="00194E28">
            <w:pPr>
              <w:keepNext/>
              <w:spacing w:before="240" w:after="0" w:line="240" w:lineRule="auto"/>
              <w:ind w:firstLine="40"/>
              <w:jc w:val="center"/>
              <w:rPr>
                <w:rFonts w:cs="Times New Roman"/>
                <w:i/>
                <w:iCs/>
                <w:sz w:val="26"/>
                <w:szCs w:val="26"/>
                <w:lang w:val="vi-VN"/>
              </w:rPr>
            </w:pPr>
            <w:r w:rsidRPr="00F044E7">
              <w:rPr>
                <w:rFonts w:cs="Times New Roman"/>
                <w:i/>
                <w:iCs/>
                <w:noProof/>
                <w:color w:val="000000"/>
                <w:sz w:val="26"/>
                <w:szCs w:val="26"/>
              </w:rPr>
              <mc:AlternateContent>
                <mc:Choice Requires="wps">
                  <w:drawing>
                    <wp:anchor distT="0" distB="0" distL="114300" distR="114300" simplePos="0" relativeHeight="251662336" behindDoc="0" locked="0" layoutInCell="1" allowOverlap="1" wp14:anchorId="65B8D062" wp14:editId="7E1F27D3">
                      <wp:simplePos x="0" y="0"/>
                      <wp:positionH relativeFrom="column">
                        <wp:posOffset>742314</wp:posOffset>
                      </wp:positionH>
                      <wp:positionV relativeFrom="paragraph">
                        <wp:posOffset>33655</wp:posOffset>
                      </wp:positionV>
                      <wp:extent cx="210502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210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698B85"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8.45pt,2.65pt" to="22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" strokecolor="black [3040]"/>
                  </w:pict>
                </mc:Fallback>
              </mc:AlternateContent>
            </w:r>
            <w:r w:rsidRPr="00F044E7">
              <w:rPr>
                <w:rFonts w:cs="Times New Roman"/>
                <w:i/>
                <w:iCs/>
                <w:color w:val="000000"/>
                <w:sz w:val="26"/>
                <w:szCs w:val="26"/>
              </w:rPr>
              <w:t>Thành phố Hồ Chí Minh, ngày      tháng    năm 2026</w:t>
            </w:r>
          </w:p>
        </w:tc>
      </w:tr>
    </w:tbl>
    <w:p w:rsidR="00970DE3" w:rsidRPr="00F044E7" w:rsidRDefault="008213B4" w:rsidP="005721D1">
      <w:pPr>
        <w:spacing w:before="120" w:after="120" w:line="240" w:lineRule="auto"/>
        <w:jc w:val="center"/>
        <w:rPr>
          <w:rFonts w:cs="Times New Roman"/>
          <w:szCs w:val="28"/>
        </w:rPr>
      </w:pPr>
      <w:r w:rsidRPr="00F044E7">
        <w:rPr>
          <w:rFonts w:cs="Times New Roman"/>
          <w:b/>
          <w:color w:val="000000"/>
          <w:szCs w:val="28"/>
        </w:rPr>
        <w:t>BÁO CÁO</w:t>
      </w:r>
    </w:p>
    <w:p w:rsidR="00970DE3" w:rsidRPr="00F044E7" w:rsidRDefault="008213B4" w:rsidP="005721D1">
      <w:pPr>
        <w:spacing w:before="120" w:after="120" w:line="240" w:lineRule="auto"/>
        <w:jc w:val="center"/>
        <w:rPr>
          <w:rFonts w:cs="Times New Roman"/>
          <w:szCs w:val="28"/>
        </w:rPr>
      </w:pPr>
      <w:r w:rsidRPr="00F044E7">
        <w:rPr>
          <w:rFonts w:cs="Times New Roman"/>
          <w:b/>
          <w:color w:val="000000"/>
          <w:szCs w:val="28"/>
        </w:rPr>
        <w:t xml:space="preserve">Đánh giá thực trạng quan hệ xã hội và rà soát chủ trương, đường lối của Đảng, văn bản quy phạm pháp luật có liên quan đến dự thảo Nghị quyết </w:t>
        <w:br/>
        <w:t>quy định trình tự, thủ tục bảo quản, tu bổ, phục hồi di tích quốc gia, di tích quốc gia đặc biệt trên địa bàn Thành phố Hồ Chí Minh</w:t>
      </w:r>
      <w:r w:rsidR="002D503D" w:rsidRPr="00F044E7">
        <w:rPr>
          <w:rFonts w:cs="Times New Roman"/>
          <w:b/>
          <w:color w:val="000000"/>
          <w:szCs w:val="28"/>
        </w:rPr>
      </w:r>
      <w:r w:rsidR="005721D1" w:rsidRPr="00F044E7">
        <w:rPr>
          <w:b/>
          <w:color w:val="000000"/>
        </w:rPr>
      </w:r>
      <w:r w:rsidR="005721D1" w:rsidRPr="00F044E7">
        <w:rPr>
          <w:b/>
          <w:color w:val="000000"/>
        </w:rPr>
      </w:r>
      <w:r w:rsidR="005721D1" w:rsidRPr="00F044E7">
        <w:rPr>
          <w:b/>
          <w:color w:val="000000"/>
        </w:rPr>
      </w:r>
    </w:p>
    <w:p w:rsidR="002D503D" w:rsidRPr="00F044E7" w:rsidRDefault="002D503D" w:rsidP="002D503D">
      <w:pPr>
        <w:spacing w:before="360" w:after="120"/>
        <w:ind w:firstLine="720"/>
        <w:jc w:val="center"/>
      </w:pPr>
      <w:r w:rsidRPr="00F044E7">
        <w:rPr>
          <w:b/>
          <w:bCs/>
          <w:noProof/>
          <w:color w:val="000000"/>
        </w:rPr>
        <mc:AlternateContent>
          <mc:Choice Requires="wps">
            <w:drawing>
              <wp:anchor distT="0" distB="0" distL="114300" distR="114300" simplePos="0" relativeHeight="251664384" behindDoc="0" locked="0" layoutInCell="1" allowOverlap="1" wp14:anchorId="0C47BCE5" wp14:editId="37265EC1">
                <wp:simplePos x="0" y="0"/>
                <wp:positionH relativeFrom="column">
                  <wp:posOffset>2343150</wp:posOffset>
                </wp:positionH>
                <wp:positionV relativeFrom="paragraph">
                  <wp:posOffset>44450</wp:posOffset>
                </wp:positionV>
                <wp:extent cx="1257300" cy="0"/>
                <wp:effectExtent l="0" t="0" r="19050" b="19050"/>
                <wp:wrapNone/>
                <wp:docPr id="281270281" name="Straight Connector 4"/>
                <wp:cNvGraphicFramePr/>
                <a:graphic xmlns:a="http://schemas.openxmlformats.org/drawingml/2006/main">
                  <a:graphicData uri="http://schemas.microsoft.com/office/word/2010/wordprocessingShape">
                    <wps:wsp>
                      <wps:cNvCnPr/>
                      <wps:spPr>
                        <a:xfrm flipV="1">
                          <a:off x="0" y="0"/>
                          <a:ext cx="1257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5EDF6D" id="Straight Connector 4"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3.5pt" to="28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" strokecolor="black [3213]"/>
            </w:pict>
          </mc:Fallback>
        </mc:AlternateContent>
      </w:r>
      <w:r w:rsidRPr="00F044E7">
        <w:rPr>
          <w:color w:val="000000"/>
        </w:rPr>
        <w:t>Kính gửi: Ủy ban nhân dân Thành phố Hồ Chí Minh.</w:t>
      </w:r>
    </w:p>
    <w:p w:rsidR="00970DE3" w:rsidRPr="00F044E7" w:rsidRDefault="008213B4" w:rsidP="002D503D">
      <w:pPr>
        <w:spacing w:before="480" w:after="120" w:line="240" w:lineRule="auto"/>
        <w:ind w:firstLine="567"/>
        <w:jc w:val="both"/>
        <w:rPr>
          <w:rFonts w:cs="Times New Roman"/>
          <w:szCs w:val="28"/>
        </w:rPr>
      </w:pPr>
      <w:r w:rsidRPr="00F044E7">
        <w:rPr>
          <w:rFonts w:cs="Times New Roman"/>
          <w:color w:val="000000"/>
          <w:szCs w:val="28"/>
        </w:rPr>
        <w:t xml:space="preserve">Căn cứ Luật Ban hành văn bản quy phạm pháp luật số 64/2025/QH15 ngày 19 tháng 02 năm 2025, được sửa đổi, bổ sung bởi Luật số 87/2025/QH15 ngày 25 tháng 6 năm 2025; Nghị quyết số 39/2026/NQ-HĐND ngày 27 tháng 8 năm 2026 của Hội đồng nhân dân Thành phố Hồ Chí Minh; Luật Phát triển đô thị số 18/2026/QH16, đặc biệt Điều 7, điểm c khoản 2 </w:t>
      </w:r>
      <w:r w:rsidR="0037685E">
        <w:rPr>
          <w:rFonts w:cs="Times New Roman"/>
          <w:color w:val="000000"/>
          <w:szCs w:val="28"/>
        </w:rPr>
        <w:t>Điều 26</w:t>
      </w:r>
      <w:r w:rsidRPr="00F044E7">
        <w:rPr>
          <w:rFonts w:cs="Times New Roman"/>
          <w:color w:val="000000"/>
          <w:szCs w:val="28"/>
        </w:rPr>
        <w:t xml:space="preserve"> và Điều 57; Luật Di sản văn hóa số 45/2024/QH15 ngày 23 tháng 11 năm 2024; Nghị định số 208/2025/NĐ-CP ngày 17 tháng 7 năm 2025; Nghị định số 308/2025/NĐ-CP ngày 28 tháng 11 năm 2025; Luật Xây dựng số 135/2025/QH15 ngày 10 tháng 12 năm 2025; Nghị định số 217/2026/NĐ-CP ngày 19 tháng 6 năm 2026 và pháp luật về đầu tư, đầu tư công, ngân sách nhà nước có liên quan, Sở Văn hóa và Thể thao đánh giá thực trạng như sau:</w:t>
      </w:r>
    </w:p>
    <w:p w:rsidR="00970DE3" w:rsidRPr="00F044E7" w:rsidRDefault="008213B4" w:rsidP="002D503D">
      <w:pPr>
        <w:spacing w:before="120" w:after="120" w:line="240" w:lineRule="auto"/>
        <w:ind w:firstLine="567"/>
        <w:jc w:val="both"/>
        <w:rPr>
          <w:rFonts w:cs="Times New Roman"/>
          <w:szCs w:val="28"/>
        </w:rPr>
      </w:pPr>
      <w:r w:rsidRPr="00F044E7">
        <w:rPr>
          <w:rFonts w:cs="Times New Roman"/>
          <w:b/>
          <w:color w:val="000000"/>
          <w:szCs w:val="28"/>
        </w:rPr>
        <w:t>I. MỤC ĐÍCH, PHẠM VI ĐÁNH GIÁ</w:t>
      </w:r>
    </w:p>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Báo cáo nhằm làm rõ thực trạng quản lý nhà nước và quan hệ phát sinh trong quá trình chuẩn bị, thẩm định, phê duyệt, điều chỉnh và tổ chức thực hiện hoạt động bảo quản, tu bổ, phục hồi di tích; xác định những nội dung pháp luật trung ương đã quy định đầy đủ, những nội dung Luật Phát triển đô thị giao Thành phố quyết định và những điểm giao thoa cần phân định trách nhiệm.</w:t>
      </w:r>
    </w:p>
    <w:p w:rsidR="00970DE3" w:rsidRPr="00F044E7" w:rsidRDefault="008213B4" w:rsidP="002D503D">
      <w:pPr>
        <w:spacing w:before="120" w:after="120" w:line="240" w:lineRule="auto"/>
        <w:ind w:firstLine="567"/>
        <w:jc w:val="both"/>
        <w:rPr>
          <w:rFonts w:cs="Times New Roman"/>
          <w:szCs w:val="28"/>
        </w:rPr>
      </w:pPr>
      <w:r w:rsidRPr="00F044E7">
        <w:rPr>
          <w:color w:val="000000"/>
        </w:rPr>
        <w:t>Phạm vi tập trung vào di tích quốc gia, di tích quốc gia đặc biệt theo điểm c khoản 2 Điều 26 Luật Phát triển đô thị số 18/2026/QH16 và các quy định pháp luật chuyên ngành có liên quan. Riêng hoạt động quy hoạch, Báo cáo xem xét trường hợp cụm di tích quốc gia với di tích cấp Thành phố tạo thành một quần thể phân bố trong cùng khu vực địa lý; di tích cấp Thành phố không phải đối tượng độc lập của các thủ tục bảo quản, tu bổ, phục hồi khác trong dự thảo Nghị quyết.</w:t>
      </w:r>
      <w:r w:rsidR="0037685E">
        <w:rPr>
          <w:color w:val="000000"/>
        </w:rPr>
      </w:r>
      <w:r w:rsidRPr="00F044E7">
        <w:rPr>
          <w:color w:val="000000"/>
        </w:rPr>
      </w:r>
    </w:p>
    <w:p w:rsidR="00970DE3" w:rsidRPr="00F044E7" w:rsidRDefault="008213B4" w:rsidP="002D503D">
      <w:pPr>
        <w:spacing w:before="120" w:after="120" w:line="240" w:lineRule="auto"/>
        <w:ind w:firstLine="567"/>
        <w:jc w:val="both"/>
        <w:rPr>
          <w:rFonts w:cs="Times New Roman"/>
          <w:szCs w:val="28"/>
        </w:rPr>
      </w:pPr>
      <w:r w:rsidRPr="00F044E7">
        <w:rPr>
          <w:rFonts w:cs="Times New Roman"/>
          <w:b/>
          <w:color w:val="000000"/>
          <w:szCs w:val="28"/>
        </w:rPr>
        <w:t>II. THỰC TRẠNG QUẢN LÝ VÀ CÁC QUAN HỆ PHÁP LÝ PHÁT SINH</w:t>
      </w:r>
    </w:p>
    <w:p w:rsidR="00970DE3" w:rsidRPr="00F044E7" w:rsidRDefault="008213B4" w:rsidP="002D503D">
      <w:pPr>
        <w:spacing w:before="120" w:after="120" w:line="240" w:lineRule="auto"/>
        <w:ind w:firstLine="567"/>
        <w:jc w:val="both"/>
        <w:rPr>
          <w:rFonts w:cs="Times New Roman"/>
          <w:szCs w:val="28"/>
        </w:rPr>
      </w:pPr>
      <w:r w:rsidRPr="00F044E7">
        <w:rPr>
          <w:rFonts w:cs="Times New Roman"/>
          <w:b/>
          <w:color w:val="000000"/>
          <w:szCs w:val="28"/>
        </w:rPr>
        <w:lastRenderedPageBreak/>
        <w:t>1. Đa dạng về chủ thể quản lý, nguồn vốn và người quyết định đầu tư</w:t>
      </w:r>
    </w:p>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Di tích trên địa bàn Thành phố thuộc nhiều loại hình sở hữu, do cơ quan nhà nước, đơn vị sự nghiệp, tổ chức tôn giáo, tổ chức xã hội, cộng đồng hoặc chủ thể khác quản lý, sử dụng. Nguồn vốn tu bổ có thể là đầu tư công, ngân sách thường xuyên, nguồn xã hội hóa hoặc nguồn hợp pháp khác. Vì vậy, cơ quan quản lý di tích, chủ đầu tư và người quyết định đầu tư không phải lúc nào cũng là một chủ thể; quy trình cần xác định rõ trách nhiệm ở từng giai đoạn để tránh nhầm lẫn giữa thẩm quyền chuyên ngành di sản và thẩm quyền quyết định đầu tư.</w:t>
      </w:r>
    </w:p>
    <w:p w:rsidR="00970DE3" w:rsidRPr="00F044E7" w:rsidRDefault="008213B4" w:rsidP="002D503D">
      <w:pPr>
        <w:spacing w:before="120" w:after="120" w:line="240" w:lineRule="auto"/>
        <w:ind w:firstLine="567"/>
        <w:jc w:val="both"/>
        <w:rPr>
          <w:rFonts w:cs="Times New Roman"/>
          <w:szCs w:val="28"/>
        </w:rPr>
      </w:pPr>
      <w:r w:rsidRPr="00F044E7">
        <w:rPr>
          <w:rFonts w:cs="Times New Roman"/>
          <w:b/>
          <w:color w:val="000000"/>
          <w:szCs w:val="28"/>
        </w:rPr>
        <w:t>2. Một hồ sơ chịu đồng thời nhiều hệ thống pháp luật</w:t>
      </w:r>
    </w:p>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Hoạt động tu bổ di tích đồng thời chịu sự điều chỉnh của pháp luật di sản văn hóa, xây dựng, đầu tư công, ngân sách, quy hoạch, đất đai, môi trường, phòng cháy chữa cháy và pháp luật có liên quan. Pháp luật di sản tập trung vào giá trị di tích, yếu tố gốc, giải pháp bảo quản, tu bổ, phục hồi; pháp luật xây dựng điều chỉnh an toàn công trình, quy chuẩn, tiêu chuẩn, chi phí, quản lý chất lượng và thiết kế xây dựng. Thực tiễn cần một cơ chế xác định rõ phạm vi thẩm định của từng cơ quan, tránh thẩm định trùng hoặc bỏ sót.</w:t>
      </w:r>
    </w:p>
    <w:p w:rsidR="00970DE3" w:rsidRPr="00F044E7" w:rsidRDefault="008213B4" w:rsidP="002D503D">
      <w:pPr>
        <w:spacing w:before="120" w:after="120" w:line="240" w:lineRule="auto"/>
        <w:ind w:firstLine="567"/>
        <w:jc w:val="both"/>
        <w:rPr>
          <w:rFonts w:cs="Times New Roman"/>
          <w:szCs w:val="28"/>
        </w:rPr>
      </w:pPr>
      <w:r w:rsidRPr="00F044E7">
        <w:rPr>
          <w:rFonts w:cs="Times New Roman"/>
          <w:b/>
          <w:color w:val="000000"/>
          <w:szCs w:val="28"/>
        </w:rPr>
        <w:t>3. Yêu cầu mới về tham vấn theo Luật Phát triển đô thị</w:t>
      </w:r>
    </w:p>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Điểm c khoản 2 Điều 26 Luật Phát triển đô thị số 18/2026/QH16 thiết lập cơ chế quyết định của Thành phố đối với bảo quản, tu bổ, phục hồi di tích quốc gia, di tích quốc gia đặc biệt sau khi tham vấn cơ quan quản lý nhà nước về văn hóa ở trung ương. Dự thảo tổ chức thực hiện theo hướng Chủ tịch Ủy ban nhân dân Thành phố trực tiếp xem xét: đối với di tích quốc gia đặc biệt, phê duyệt Báo cáo nghiên cứu khả thi, Báo cáo kinh tế - kỹ thuật; đối với di tích quốc gia, có văn bản chấp thuận về bảo quản, tu bổ, phục hồi trước khi cơ quan, người có thẩm quyền phê duyệt dự án, quyết định đầu tư. Sở Văn hóa và Thể thao là cơ quan đầu mối tiếp nhận, thẩm định chuyên ngành, tổng hợp và tham mưu. Cơ chế này đặt ra nhu cầu xác định thời điểm tham vấn, hồ sơ gửi tham vấn, trách nhiệm tổng hợp, tiếp thu, giải trình và cách sử dụng ý kiến tham vấn trong chuỗi thẩm định, phê duyệt.</w:t>
      </w:r>
      <w:r w:rsidR="002D503D" w:rsidRPr="00F044E7">
        <w:rPr>
          <w:rFonts w:cs="Times New Roman"/>
          <w:color w:val="000000"/>
          <w:szCs w:val="28"/>
        </w:rPr>
      </w:r>
      <w:r w:rsidRPr="00F044E7">
        <w:rPr>
          <w:rFonts w:cs="Times New Roman"/>
          <w:color w:val="000000"/>
          <w:szCs w:val="28"/>
        </w:rPr>
      </w:r>
    </w:p>
    <w:p w:rsidR="00970DE3" w:rsidRPr="00F044E7" w:rsidRDefault="008213B4" w:rsidP="002D503D">
      <w:pPr>
        <w:spacing w:before="120" w:after="120" w:line="240" w:lineRule="auto"/>
        <w:ind w:firstLine="567"/>
        <w:jc w:val="both"/>
        <w:rPr>
          <w:rFonts w:cs="Times New Roman"/>
          <w:szCs w:val="28"/>
        </w:rPr>
      </w:pPr>
      <w:r w:rsidRPr="00F044E7">
        <w:rPr>
          <w:rFonts w:cs="Times New Roman"/>
          <w:b/>
          <w:color w:val="000000"/>
          <w:szCs w:val="28"/>
        </w:rPr>
        <w:t>4. Các thủ tục chuyên ngành hiện hành đã khá đầy đủ nhưng phân tán theo từng giai đoạn</w:t>
      </w:r>
    </w:p>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Nghị định số 208/2025/NĐ-CP đã quy định từ Điều 13 đến Điều 41 về quy hoạch di tích; xác nhận di tích xuống cấp; Báo cáo nghiên cứu khả thi, Báo cáo kinh tế - kỹ thuật; tu sửa cấp thiết; Thiết kế bản vẽ thi công và điều chỉnh. Tuy nhiên, khi áp dụng cơ chế đặc thù của Luật Phát triển đô thị, các thủ tục này cần được kết nối lại về đầu mối, trình tự và quan hệ giữa tham vấn với thẩm định, phê duyệt tại Thành phố.</w:t>
      </w:r>
    </w:p>
    <w:p w:rsidR="00970DE3" w:rsidRPr="00F044E7" w:rsidRDefault="008213B4" w:rsidP="002D503D">
      <w:pPr>
        <w:spacing w:before="120" w:after="120" w:line="240" w:lineRule="auto"/>
        <w:ind w:firstLine="567"/>
        <w:jc w:val="both"/>
        <w:rPr>
          <w:rFonts w:cs="Times New Roman"/>
          <w:szCs w:val="28"/>
        </w:rPr>
      </w:pPr>
      <w:r w:rsidRPr="00F044E7">
        <w:rPr>
          <w:rFonts w:cs="Times New Roman"/>
          <w:b/>
          <w:color w:val="000000"/>
          <w:szCs w:val="28"/>
        </w:rPr>
        <w:t>5. Yêu cầu xử lý hồ sơ điện tử và lưu trữ vòng đời can thiệp di tích</w:t>
      </w:r>
    </w:p>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Hồ sơ tu bổ có khối lượng lớn, gồm ảnh, bản vẽ và tài liệu kỹ thuật. Việc tiếp nhận bản mềm PDF, tài liệu gắn mã QR Code và quản lý dữ liệu điện tử giúp giảm luân chuyển, hỗ trợ đối chiếu các lần can thiệp và lưu trữ lâu dài. Tuy nhiên, cách thức thực hiện phải bảo đảm không trở thành yêu cầu nộp thêm một bộ hồ sơ ngoài thành phần pháp luật quy định; đồng thời bảo đảm an toàn thông tin, tính toàn vẹn và khả năng khai thác dữ liệu.</w:t>
      </w:r>
    </w:p>
    <w:p w:rsidR="00970DE3" w:rsidRPr="00F044E7" w:rsidRDefault="008213B4" w:rsidP="002D503D">
      <w:pPr>
        <w:spacing w:before="120" w:after="120" w:line="240" w:lineRule="auto"/>
        <w:ind w:firstLine="567"/>
        <w:jc w:val="both"/>
        <w:rPr>
          <w:rFonts w:cs="Times New Roman"/>
          <w:szCs w:val="28"/>
        </w:rPr>
      </w:pPr>
      <w:r w:rsidRPr="00F044E7">
        <w:rPr>
          <w:rFonts w:cs="Times New Roman"/>
          <w:b/>
          <w:color w:val="000000"/>
          <w:szCs w:val="28"/>
        </w:rPr>
        <w:t>III. NHỮNG VƯỚNG MẮC, YÊU CẦU CẦN GIẢI QUYẾT TRONG DỰ THẢO</w:t>
      </w:r>
    </w:p>
    <w:p w:rsidR="00970DE3" w:rsidRPr="00F044E7" w:rsidRDefault="008213B4" w:rsidP="002D503D">
      <w:pPr>
        <w:spacing w:before="120" w:after="120" w:line="240" w:lineRule="auto"/>
        <w:ind w:firstLine="567"/>
        <w:jc w:val="both"/>
        <w:rPr>
          <w:rFonts w:cs="Times New Roman"/>
          <w:szCs w:val="28"/>
        </w:rPr>
      </w:pPr>
      <w:r w:rsidRPr="00F044E7">
        <w:rPr>
          <w:color w:val="000000"/>
        </w:rPr>
        <w:t>1. Xác định rõ hình thức thực hiện thẩm quyền của Chủ tịch Ủy ban nhân dân Thành phố theo trình tự, thủ tục thực hiện điểm c khoản 2 Điều 26 Luật Phát triển đô thị số 18/2026/QH16: phê duyệt Báo cáo nghiên cứu khả thi, Báo cáo kinh tế - kỹ thuật đối với di tích quốc gia đặc biệt; có văn bản chấp thuận về bảo quản, tu bổ, phục hồi đối với di tích quốc gia. Văn bản chấp thuận không thay thế quyết định đầu tư, phê duyệt dự án hoặc phê duyệt thiết kế theo pháp luật chuyên ngành.</w:t>
      </w:r>
      <w:r w:rsidR="0037685E">
        <w:rPr>
          <w:color w:val="000000"/>
        </w:rPr>
      </w:r>
      <w:r w:rsidRPr="00F044E7">
        <w:rPr>
          <w:color w:val="000000"/>
        </w:rPr>
      </w:r>
    </w:p>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2. Xác định Sở Văn hóa và Thể thao là đầu mối chuyên ngành di sản; phân định nội dung do cơ quan xây dựng và cơ quan chuyên ngành khác thực hiện; không sử dụng khái niệm “thẩm định liên ngành” theo hướng làm thay trách nhiệm chuyên môn của từng cơ quan.</w:t>
      </w:r>
    </w:p>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3. Làm rõ thời điểm và hồ sơ tham vấn Bộ Văn hóa, Thể thao và Du lịch; xác định thời hạn lấy ý kiến tham vấn là 05 ngày làm việc kể từ ngày Bộ nhận được văn bản tham vấn; cơ chế tiếp tục xử lý khi hết thời hạn mà chưa nhận được văn bản ý kiến của Bộ; trách nhiệm cập nhật, tiếp thu, giải trình nếu ý kiến Bộ đến trước thời điểm Chủ tịch Ủy ban nhân dân Thành phố quyết định; đồng thời xử lý trường hợp ý kiến tham vấn có nội dung khác với ý kiến của cơ quan Thành phố.</w:t>
      </w:r>
    </w:p>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4. Đối với Điều 11, làm rõ quan hệ với thủ tục xác nhận di tích xuống cấp tại Điều 22 Nghị định số 208/2025/NĐ-CP để không hình thành hai bước thủ tục có cùng mục đích.</w:t>
      </w:r>
    </w:p>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5. Đối với Thiết kế bản vẽ thi công, chỉ quy định thẩm định chuyên ngành di sản trong phạm vi cần thiết; bước thẩm định, kiểm soát, phê duyệt thiết kế xây dựng phải tuân thủ Luật Xây dựng số 135/2025/QH15 và Nghị định số 217/2026/NĐ-CP.</w:t>
      </w:r>
    </w:p>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6. Chuẩn hóa biểu mẫu theo hướng hỗ trợ tổng hợp thông tin; biểu mẫu địa phương không được làm phát sinh thành phần hồ sơ, điều kiện hoặc giấy tờ ngoài quy định của pháp luật trung ương.</w:t>
      </w:r>
    </w:p>
    <w:p w:rsidR="009D0FF1" w:rsidRPr="00F044E7" w:rsidRDefault="00AF4ADC">
      <w:pPr>
        <w:spacing w:before="120" w:after="120" w:line="240" w:lineRule="auto"/>
        <w:ind w:firstLine="567"/>
        <w:jc w:val="both"/>
        <w:rPr>
          <w:rFonts w:cs="Times New Roman"/>
          <w:szCs w:val="28"/>
        </w:rPr>
      </w:pPr>
      <w:r w:rsidRPr="00F044E7">
        <w:rPr>
          <w:b/>
          <w:color w:val="000000"/>
        </w:rPr>
        <w:t>7. Yêu cầu về quy trình xây dựng, tham vấn và thẩm định theo Nghị quyết số 39/2026/NQ-HĐND</w:t>
      </w:r>
    </w:p>
    <w:p w:rsidR="009D0FF1" w:rsidRPr="00F044E7" w:rsidRDefault="00AF4ADC">
      <w:pPr>
        <w:spacing w:before="120" w:after="120" w:line="240" w:lineRule="auto"/>
        <w:ind w:firstLine="567"/>
        <w:jc w:val="both"/>
        <w:rPr>
          <w:rFonts w:cs="Times New Roman"/>
          <w:szCs w:val="28"/>
        </w:rPr>
      </w:pPr>
      <w:r w:rsidRPr="00F044E7">
        <w:rPr>
          <w:color w:val="000000"/>
        </w:rPr>
        <w:lastRenderedPageBreak/>
        <w:t>Nghị quyết số 39/2026/NQ-HĐND yêu cầu hồ sơ soạn thảo phải có đầy đủ các tài liệu tại khoản 2 Điều 7; việc tham vấn chính sách phải thực hiện với Bộ, cơ quan ngang Bộ chuyên ngành và Ủy ban Mặt trận Tổ quốc Việt Nam Thành phố Hồ Chí Minh; hồ sơ gửi thẩm định phải bổ sung Bản tổng hợp, tiếp thu, giải trình ý kiến góp ý và Văn bản tổng hợp kết quả tham vấn chính sách. Đây là yêu cầu về quy trình xây dựng văn bản, không phải thủ tục hành chính áp dụng cho chủ đầu tư hoặc tổ chức, cá nhân khi thực hiện dự án tu bổ di tích.</w:t>
      </w:r>
    </w:p>
    <w:p w:rsidR="00970DE3" w:rsidRPr="00F044E7" w:rsidRDefault="008213B4" w:rsidP="002D503D">
      <w:pPr>
        <w:spacing w:before="120" w:after="120" w:line="240" w:lineRule="auto"/>
        <w:ind w:firstLine="567"/>
        <w:jc w:val="both"/>
        <w:rPr>
          <w:rFonts w:cs="Times New Roman"/>
          <w:szCs w:val="28"/>
        </w:rPr>
      </w:pPr>
      <w:r w:rsidRPr="00F044E7">
        <w:rPr>
          <w:rFonts w:cs="Times New Roman"/>
          <w:b/>
          <w:color w:val="000000"/>
          <w:szCs w:val="28"/>
        </w:rPr>
        <w:t>IV. RÀ SOÁT CHỦ TRƯƠNG, ĐƯỜNG LỐI VÀ VĂN BẢN PHÁP LUẬT CÓ LIÊN QUAN</w:t>
      </w:r>
    </w:p>
    <w:tbl>
      <w:tblPr>
        <w:tblW w:w="10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8"/>
        <w:gridCol w:w="2268"/>
        <w:gridCol w:w="2608"/>
        <w:gridCol w:w="2551"/>
        <w:gridCol w:w="1984"/>
      </w:tblGrid>
      <w:tr w:rsidR="00F044E7" w:rsidRPr="00F044E7" w:rsidTr="002D503D">
        <w:trPr>
          <w:tblHeader/>
          <w:jc w:val="center"/>
        </w:trPr>
        <w:tc>
          <w:tcPr>
            <w:tcW w:w="1228" w:type="dxa"/>
          </w:tcPr>
          <w:p w:rsidR="00970DE3" w:rsidRPr="00F044E7" w:rsidRDefault="008213B4" w:rsidP="00553506">
            <w:pPr>
              <w:spacing w:before="120" w:after="120" w:line="240" w:lineRule="auto"/>
              <w:jc w:val="center"/>
              <w:rPr>
                <w:rFonts w:cs="Times New Roman"/>
                <w:szCs w:val="28"/>
              </w:rPr>
            </w:pPr>
            <w:r w:rsidRPr="00F044E7">
              <w:rPr>
                <w:rFonts w:cs="Times New Roman"/>
                <w:b/>
                <w:color w:val="000000"/>
                <w:szCs w:val="28"/>
              </w:rPr>
              <w:t>STT</w:t>
            </w:r>
          </w:p>
        </w:tc>
        <w:tc>
          <w:tcPr>
            <w:tcW w:w="2268" w:type="dxa"/>
          </w:tcPr>
          <w:p w:rsidR="00970DE3" w:rsidRPr="00F044E7" w:rsidRDefault="008213B4" w:rsidP="00553506">
            <w:pPr>
              <w:spacing w:before="120" w:after="120" w:line="240" w:lineRule="auto"/>
              <w:jc w:val="center"/>
              <w:rPr>
                <w:rFonts w:cs="Times New Roman"/>
                <w:szCs w:val="28"/>
              </w:rPr>
            </w:pPr>
            <w:r w:rsidRPr="00F044E7">
              <w:rPr>
                <w:rFonts w:cs="Times New Roman"/>
                <w:b/>
                <w:color w:val="000000"/>
                <w:szCs w:val="28"/>
              </w:rPr>
              <w:t>Chủ trương/văn bản</w:t>
            </w:r>
          </w:p>
        </w:tc>
        <w:tc>
          <w:tcPr>
            <w:tcW w:w="2608" w:type="dxa"/>
          </w:tcPr>
          <w:p w:rsidR="00970DE3" w:rsidRPr="00F044E7" w:rsidRDefault="008213B4" w:rsidP="00553506">
            <w:pPr>
              <w:spacing w:before="120" w:after="120" w:line="240" w:lineRule="auto"/>
              <w:jc w:val="center"/>
              <w:rPr>
                <w:rFonts w:cs="Times New Roman"/>
                <w:szCs w:val="28"/>
              </w:rPr>
            </w:pPr>
            <w:r w:rsidRPr="00F044E7">
              <w:rPr>
                <w:rFonts w:cs="Times New Roman"/>
                <w:b/>
                <w:color w:val="000000"/>
                <w:szCs w:val="28"/>
              </w:rPr>
              <w:t>Nội dung liên quan</w:t>
            </w:r>
          </w:p>
        </w:tc>
        <w:tc>
          <w:tcPr>
            <w:tcW w:w="2551" w:type="dxa"/>
          </w:tcPr>
          <w:p w:rsidR="00970DE3" w:rsidRPr="00F044E7" w:rsidRDefault="008213B4" w:rsidP="00553506">
            <w:pPr>
              <w:spacing w:before="120" w:after="120" w:line="240" w:lineRule="auto"/>
              <w:jc w:val="center"/>
              <w:rPr>
                <w:rFonts w:cs="Times New Roman"/>
                <w:szCs w:val="28"/>
              </w:rPr>
            </w:pPr>
            <w:r w:rsidRPr="00F044E7">
              <w:rPr>
                <w:rFonts w:cs="Times New Roman"/>
                <w:b/>
                <w:color w:val="000000"/>
                <w:szCs w:val="28"/>
              </w:rPr>
              <w:t>Đánh giá đối với dự thảo</w:t>
            </w:r>
          </w:p>
        </w:tc>
        <w:tc>
          <w:tcPr>
            <w:tcW w:w="1984" w:type="dxa"/>
          </w:tcPr>
          <w:p w:rsidR="00970DE3" w:rsidRPr="00F044E7" w:rsidRDefault="008213B4" w:rsidP="00553506">
            <w:pPr>
              <w:spacing w:before="120" w:after="120" w:line="240" w:lineRule="auto"/>
              <w:jc w:val="center"/>
              <w:rPr>
                <w:rFonts w:cs="Times New Roman"/>
                <w:szCs w:val="28"/>
              </w:rPr>
            </w:pPr>
            <w:r w:rsidRPr="00F044E7">
              <w:rPr>
                <w:rFonts w:cs="Times New Roman"/>
                <w:b/>
                <w:color w:val="000000"/>
                <w:szCs w:val="28"/>
              </w:rPr>
              <w:t>Hướng xử lý</w:t>
            </w:r>
          </w:p>
        </w:tc>
      </w:tr>
      <w:tr w:rsidR="00F044E7" w:rsidRPr="00F044E7" w:rsidTr="002D503D">
        <w:trPr>
          <w:jc w:val="center"/>
        </w:trPr>
        <w:tc>
          <w:tcPr>
            <w:tcW w:w="1228" w:type="dxa"/>
            <w:tcMar>
              <w:top w:w="45" w:type="dxa"/>
              <w:left w:w="45" w:type="dxa"/>
              <w:bottom w:w="45" w:type="dxa"/>
              <w:right w:w="45" w:type="dxa"/>
            </w:tcMar>
          </w:tcPr>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1</w:t>
            </w:r>
          </w:p>
        </w:tc>
        <w:tc>
          <w:tcPr>
            <w:tcW w:w="226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Nghị quyết số 09-NQ/TW ngày 19/5/2026 của Bộ Chính trị</w:t>
            </w:r>
          </w:p>
        </w:tc>
        <w:tc>
          <w:tcPr>
            <w:tcW w:w="260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Định hướng hoàn thiện thể chế, tăng tính chủ động và chất lượng quản trị của Thành phố.</w:t>
            </w:r>
          </w:p>
        </w:tc>
        <w:tc>
          <w:tcPr>
            <w:tcW w:w="2551"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Dự thảo góp phần cụ thể hóa cơ chế quản lý đặc thù trong khuôn khổ Luật Phát triển đô thị.</w:t>
            </w:r>
          </w:p>
        </w:tc>
        <w:tc>
          <w:tcPr>
            <w:tcW w:w="1984"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Thể hiện trong cơ sở chính trị; không sử dụng thay căn cứ pháp lý trực tiếp.</w:t>
            </w:r>
          </w:p>
        </w:tc>
      </w:tr>
      <w:tr w:rsidR="00F044E7" w:rsidRPr="00F044E7" w:rsidTr="002D503D">
        <w:trPr>
          <w:jc w:val="center"/>
        </w:trPr>
        <w:tc>
          <w:tcPr>
            <w:tcW w:w="1228" w:type="dxa"/>
            <w:tcMar>
              <w:top w:w="45" w:type="dxa"/>
              <w:left w:w="45" w:type="dxa"/>
              <w:bottom w:w="45" w:type="dxa"/>
              <w:right w:w="45" w:type="dxa"/>
            </w:tcMar>
          </w:tcPr>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2</w:t>
            </w:r>
          </w:p>
        </w:tc>
        <w:tc>
          <w:tcPr>
            <w:tcW w:w="226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Nghị quyết số 80-NQ/TW ngày 07/01/2026 của Bộ Chính trị</w:t>
            </w:r>
          </w:p>
        </w:tc>
        <w:tc>
          <w:tcPr>
            <w:tcW w:w="260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Phát triển văn hóa, bảo tồn và phát huy di sản, huy động nguồn lực, chuyển đổi số.</w:t>
            </w:r>
          </w:p>
        </w:tc>
        <w:tc>
          <w:tcPr>
            <w:tcW w:w="2551"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Phù hợp mục tiêu bảo vệ yếu tố gốc, nâng cao hiệu quả quản lý và số hóa hồ sơ.</w:t>
            </w:r>
          </w:p>
        </w:tc>
        <w:tc>
          <w:tcPr>
            <w:tcW w:w="1984"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Tiếp tục thể hiện trong mục tiêu và tổ chức thực hiện.</w:t>
            </w:r>
          </w:p>
        </w:tc>
      </w:tr>
      <w:tr w:rsidR="00F044E7" w:rsidRPr="00F044E7" w:rsidTr="002D503D">
        <w:trPr>
          <w:jc w:val="center"/>
        </w:trPr>
        <w:tc>
          <w:tcPr>
            <w:tcW w:w="1228" w:type="dxa"/>
            <w:tcMar>
              <w:top w:w="45" w:type="dxa"/>
              <w:left w:w="45" w:type="dxa"/>
              <w:bottom w:w="45" w:type="dxa"/>
              <w:right w:w="45" w:type="dxa"/>
            </w:tcMar>
          </w:tcPr>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3</w:t>
            </w:r>
          </w:p>
        </w:tc>
        <w:tc>
          <w:tcPr>
            <w:tcW w:w="226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Luật Ban hành VBQPPL số 64/2025/QH15; Luật số 87/2025/QH15</w:t>
            </w:r>
          </w:p>
        </w:tc>
        <w:tc>
          <w:tcPr>
            <w:tcW w:w="260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Quy định thẩm quyền, quy trình xây dựng, thẩm định, ban hành VBQPPL.</w:t>
            </w:r>
          </w:p>
        </w:tc>
        <w:tc>
          <w:tcPr>
            <w:tcW w:w="2551"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Hồ sơ phải có đầy đủ Tờ trình, so sánh/thuyết minh, đánh giá TTHC, thực trạng, tác động và tiếp thu.</w:t>
            </w:r>
          </w:p>
        </w:tc>
        <w:tc>
          <w:tcPr>
            <w:tcW w:w="1984"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Hoàn thiện đồng bộ bộ hồ sơ.</w:t>
            </w:r>
          </w:p>
        </w:tc>
      </w:tr>
      <w:tr w:rsidR="00F044E7" w:rsidRPr="00F044E7" w:rsidTr="002D503D">
        <w:trPr>
          <w:jc w:val="center"/>
        </w:trPr>
        <w:tc>
          <w:tcPr>
            <w:tcW w:w="1228" w:type="dxa"/>
            <w:tcMar>
              <w:top w:w="45" w:type="dxa"/>
              <w:left w:w="45" w:type="dxa"/>
              <w:bottom w:w="45" w:type="dxa"/>
              <w:right w:w="45" w:type="dxa"/>
            </w:tcMar>
          </w:tcPr>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4</w:t>
            </w:r>
          </w:p>
        </w:tc>
        <w:tc>
          <w:tcPr>
            <w:tcW w:w="226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 xml:space="preserve">Luật Phát triển đô thị số 18/2026/QH16 - Điều 7; điểm c khoản 2 </w:t>
            </w:r>
            <w:r w:rsidR="0037685E">
              <w:rPr>
                <w:rFonts w:cs="Times New Roman"/>
                <w:color w:val="000000"/>
                <w:szCs w:val="28"/>
              </w:rPr>
              <w:t>Điều 26</w:t>
            </w:r>
            <w:r w:rsidRPr="00F044E7">
              <w:rPr>
                <w:rFonts w:cs="Times New Roman"/>
                <w:color w:val="000000"/>
                <w:szCs w:val="28"/>
              </w:rPr>
              <w:t>; Điều 57</w:t>
            </w:r>
          </w:p>
        </w:tc>
        <w:tc>
          <w:tcPr>
            <w:tcW w:w="260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 xml:space="preserve">Cho phép điều chỉnh TTHC trong giới hạn; giao cơ chế quyết định </w:t>
            </w:r>
            <w:r w:rsidR="00A740D3" w:rsidRPr="00F044E7">
              <w:rPr>
                <w:rFonts w:cs="Times New Roman"/>
                <w:color w:val="000000"/>
                <w:szCs w:val="28"/>
              </w:rPr>
              <w:t>di tích quốc gia, di tích quốc gia đặc biệt</w:t>
            </w:r>
            <w:r w:rsidRPr="00F044E7">
              <w:rPr>
                <w:rFonts w:cs="Times New Roman"/>
                <w:color w:val="000000"/>
                <w:szCs w:val="28"/>
              </w:rPr>
              <w:t xml:space="preserve"> và trình tự, thủ tục do HĐND Thành phố quy định.</w:t>
            </w:r>
          </w:p>
        </w:tc>
        <w:tc>
          <w:tcPr>
            <w:tcW w:w="2551"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 xml:space="preserve">Là căn cứ trực tiếp cho phần đặc thù </w:t>
            </w:r>
            <w:r w:rsidR="00A740D3" w:rsidRPr="00F044E7">
              <w:rPr>
                <w:rFonts w:cs="Times New Roman"/>
                <w:color w:val="000000"/>
                <w:szCs w:val="28"/>
              </w:rPr>
              <w:t>di tích quốc gia, di tích quốc gia đặc biệt</w:t>
            </w:r>
            <w:r w:rsidRPr="00F044E7">
              <w:rPr>
                <w:rFonts w:cs="Times New Roman"/>
                <w:color w:val="000000"/>
                <w:szCs w:val="28"/>
              </w:rPr>
              <w:t>.</w:t>
            </w:r>
          </w:p>
        </w:tc>
        <w:tc>
          <w:tcPr>
            <w:tcW w:w="1984"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Dẫn chính xác điều, khoản trong Tờ trình và dự thảo.</w:t>
            </w:r>
          </w:p>
        </w:tc>
      </w:tr>
      <w:tr w:rsidR="00F044E7" w:rsidRPr="00F044E7" w:rsidTr="002D503D">
        <w:trPr>
          <w:jc w:val="center"/>
        </w:trPr>
        <w:tc>
          <w:tcPr>
            <w:tcW w:w="1228" w:type="dxa"/>
            <w:tcMar>
              <w:top w:w="45" w:type="dxa"/>
              <w:left w:w="45" w:type="dxa"/>
              <w:bottom w:w="45" w:type="dxa"/>
              <w:right w:w="45" w:type="dxa"/>
            </w:tcMar>
          </w:tcPr>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lastRenderedPageBreak/>
              <w:t>5</w:t>
            </w:r>
          </w:p>
        </w:tc>
        <w:tc>
          <w:tcPr>
            <w:tcW w:w="226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Luật Di sản văn hóa số 45/2024/QH15</w:t>
            </w:r>
          </w:p>
        </w:tc>
        <w:tc>
          <w:tcPr>
            <w:tcW w:w="260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Nguyên tắc bảo vệ, bảo quản, tu bổ, phục hồi; trách nhiệm chuyên ngành.</w:t>
            </w:r>
          </w:p>
        </w:tc>
        <w:tc>
          <w:tcPr>
            <w:tcW w:w="2551"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Là nền tảng chuyên môn; dự thảo không được làm giảm yêu cầu bảo vệ yếu tố gốc.</w:t>
            </w:r>
          </w:p>
        </w:tc>
        <w:tc>
          <w:tcPr>
            <w:tcW w:w="1984"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Kế thừa và dẫn chiếu chính xác.</w:t>
            </w:r>
          </w:p>
        </w:tc>
      </w:tr>
      <w:tr w:rsidR="00F044E7" w:rsidRPr="00F044E7" w:rsidTr="002D503D">
        <w:trPr>
          <w:jc w:val="center"/>
        </w:trPr>
        <w:tc>
          <w:tcPr>
            <w:tcW w:w="1228" w:type="dxa"/>
            <w:tcMar>
              <w:top w:w="45" w:type="dxa"/>
              <w:left w:w="45" w:type="dxa"/>
              <w:bottom w:w="45" w:type="dxa"/>
              <w:right w:w="45" w:type="dxa"/>
            </w:tcMar>
          </w:tcPr>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6</w:t>
            </w:r>
          </w:p>
        </w:tc>
        <w:tc>
          <w:tcPr>
            <w:tcW w:w="226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Nghị định số 208/2025/NĐ-CP ngày 17/7/2025</w:t>
            </w:r>
          </w:p>
        </w:tc>
        <w:tc>
          <w:tcPr>
            <w:tcW w:w="2608" w:type="dxa"/>
            <w:tcMar>
              <w:top w:w="45" w:type="dxa"/>
              <w:left w:w="45" w:type="dxa"/>
              <w:bottom w:w="45" w:type="dxa"/>
              <w:right w:w="45" w:type="dxa"/>
            </w:tcMar>
          </w:tcPr>
          <w:p w:rsidR="00970DE3" w:rsidRPr="00F044E7" w:rsidRDefault="008213B4" w:rsidP="00754CC2">
            <w:pPr>
              <w:spacing w:before="120" w:after="120" w:line="240" w:lineRule="auto"/>
              <w:jc w:val="both"/>
              <w:rPr>
                <w:rFonts w:cs="Times New Roman"/>
                <w:szCs w:val="28"/>
              </w:rPr>
            </w:pPr>
            <w:r w:rsidRPr="00F044E7">
              <w:rPr>
                <w:rFonts w:cs="Times New Roman"/>
                <w:color w:val="000000"/>
                <w:szCs w:val="28"/>
              </w:rPr>
              <w:t xml:space="preserve">Điều 13-41 quy định quy hoạch, xuống cấp, </w:t>
            </w:r>
            <w:r w:rsidR="00754CC2" w:rsidRPr="00F044E7">
              <w:rPr>
                <w:rFonts w:cs="Times New Roman"/>
                <w:color w:val="000000"/>
                <w:szCs w:val="28"/>
              </w:rPr>
              <w:t>Báo cáo nghiên cứu khả thi, Bảo cáo kinh tế - kỹ thuật</w:t>
            </w:r>
            <w:r w:rsidRPr="00F044E7">
              <w:rPr>
                <w:rFonts w:cs="Times New Roman"/>
                <w:color w:val="000000"/>
                <w:szCs w:val="28"/>
              </w:rPr>
              <w:t xml:space="preserve">, tu sửa cấp thiết, </w:t>
            </w:r>
            <w:r w:rsidR="00754CC2" w:rsidRPr="00F044E7">
              <w:rPr>
                <w:rFonts w:cs="Times New Roman"/>
                <w:color w:val="000000"/>
                <w:szCs w:val="28"/>
              </w:rPr>
              <w:t>Thiết kế bản vẽ thi công</w:t>
            </w:r>
            <w:r w:rsidRPr="00F044E7">
              <w:rPr>
                <w:rFonts w:cs="Times New Roman"/>
                <w:color w:val="000000"/>
                <w:szCs w:val="28"/>
              </w:rPr>
              <w:t xml:space="preserve"> và điều chỉnh.</w:t>
            </w:r>
          </w:p>
        </w:tc>
        <w:tc>
          <w:tcPr>
            <w:tcW w:w="2551"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Là văn bản đối chiếu trực tiếp từng thủ tục.</w:t>
            </w:r>
          </w:p>
        </w:tc>
        <w:tc>
          <w:tcPr>
            <w:tcW w:w="1984"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Đối với di tích quốc gia, di tích quốc gia đặc biệt, chỉ điều chỉnh trong phạm vi Luật Phát triển đô thị; nội dung chuyên ngành tiếp tục bám Nghị định số 208/2025/NĐ-CP.</w:t>
            </w:r>
            <w:r w:rsidR="00700928" w:rsidRPr="00F044E7">
              <w:rPr>
                <w:rFonts w:cs="Times New Roman"/>
                <w:color w:val="000000"/>
                <w:szCs w:val="28"/>
              </w:rPr>
            </w:r>
            <w:r w:rsidRPr="00F044E7">
              <w:rPr>
                <w:rFonts w:cs="Times New Roman"/>
                <w:color w:val="000000"/>
                <w:szCs w:val="28"/>
              </w:rPr>
            </w:r>
            <w:r w:rsidR="00A740D3" w:rsidRPr="00F044E7">
              <w:rPr>
                <w:rFonts w:cs="Times New Roman"/>
                <w:color w:val="000000"/>
                <w:szCs w:val="28"/>
              </w:rPr>
            </w:r>
            <w:r w:rsidRPr="00F044E7">
              <w:rPr>
                <w:rFonts w:cs="Times New Roman"/>
                <w:color w:val="000000"/>
                <w:szCs w:val="28"/>
              </w:rPr>
            </w:r>
          </w:p>
        </w:tc>
      </w:tr>
      <w:tr w:rsidR="00F044E7" w:rsidRPr="00F044E7" w:rsidTr="002D503D">
        <w:trPr>
          <w:jc w:val="center"/>
        </w:trPr>
        <w:tc>
          <w:tcPr>
            <w:tcW w:w="1228" w:type="dxa"/>
            <w:tcMar>
              <w:top w:w="45" w:type="dxa"/>
              <w:left w:w="45" w:type="dxa"/>
              <w:bottom w:w="45" w:type="dxa"/>
              <w:right w:w="45" w:type="dxa"/>
            </w:tcMar>
          </w:tcPr>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7</w:t>
            </w:r>
          </w:p>
        </w:tc>
        <w:tc>
          <w:tcPr>
            <w:tcW w:w="226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Nghị định số 308/2025/NĐ-CP ngày 28/11/2025</w:t>
            </w:r>
          </w:p>
        </w:tc>
        <w:tc>
          <w:tcPr>
            <w:tcW w:w="260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Quy định chi tiết một số điều và biện pháp tổ chức, hướng dẫn thi hành Luật Di sản văn hóa.</w:t>
            </w:r>
          </w:p>
        </w:tc>
        <w:tc>
          <w:tcPr>
            <w:tcW w:w="2551"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Có liên quan đến quản lý, điều kiện chuyên môn và tổ chức thi hành.</w:t>
            </w:r>
          </w:p>
        </w:tc>
        <w:tc>
          <w:tcPr>
            <w:tcW w:w="1984"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Dẫn khi nội dung cụ thể phát sinh; tránh lặp lại quy định.</w:t>
            </w:r>
          </w:p>
        </w:tc>
      </w:tr>
      <w:tr w:rsidR="00F044E7" w:rsidRPr="00F044E7" w:rsidTr="002D503D">
        <w:trPr>
          <w:jc w:val="center"/>
        </w:trPr>
        <w:tc>
          <w:tcPr>
            <w:tcW w:w="1228" w:type="dxa"/>
            <w:tcMar>
              <w:top w:w="45" w:type="dxa"/>
              <w:left w:w="45" w:type="dxa"/>
              <w:bottom w:w="45" w:type="dxa"/>
              <w:right w:w="45" w:type="dxa"/>
            </w:tcMar>
          </w:tcPr>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8</w:t>
            </w:r>
          </w:p>
        </w:tc>
        <w:tc>
          <w:tcPr>
            <w:tcW w:w="226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Luật Xây dựng số 135/2025/QH15 ngày 10/12/2025</w:t>
            </w:r>
          </w:p>
        </w:tc>
        <w:tc>
          <w:tcPr>
            <w:tcW w:w="260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Điều chỉnh thẩm định, thiết kế, quản lý dự án, chất lượng công trình xây dựng.</w:t>
            </w:r>
          </w:p>
        </w:tc>
        <w:tc>
          <w:tcPr>
            <w:tcW w:w="2551"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Dự thảo phải tách thẩm định di sản khỏi thẩm định/kiểm soát/phê duyệt xây dựng.</w:t>
            </w:r>
          </w:p>
        </w:tc>
        <w:tc>
          <w:tcPr>
            <w:tcW w:w="1984"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Dẫn chiếu pháp luật xây dựng tại các điều về thẩm định, phê duyệt và điều chỉnh Thiết kế bản vẽ thi công; không quy định lại nội dung thuộc thẩm quyền xây dựng.</w:t>
            </w:r>
          </w:p>
        </w:tc>
      </w:tr>
      <w:tr w:rsidR="00F044E7" w:rsidRPr="00F044E7" w:rsidTr="002D503D">
        <w:trPr>
          <w:jc w:val="center"/>
        </w:trPr>
        <w:tc>
          <w:tcPr>
            <w:tcW w:w="1228" w:type="dxa"/>
            <w:tcMar>
              <w:top w:w="45" w:type="dxa"/>
              <w:left w:w="45" w:type="dxa"/>
              <w:bottom w:w="45" w:type="dxa"/>
              <w:right w:w="45" w:type="dxa"/>
            </w:tcMar>
          </w:tcPr>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9</w:t>
            </w:r>
          </w:p>
        </w:tc>
        <w:tc>
          <w:tcPr>
            <w:tcW w:w="226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Nghị định số 217/2026/NĐ-CP ngày 19/6/2026</w:t>
            </w:r>
          </w:p>
        </w:tc>
        <w:tc>
          <w:tcPr>
            <w:tcW w:w="260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Quy định chi tiết một số điều của Luật Xây dựng về quản lý hoạt động xây dựng.</w:t>
            </w:r>
          </w:p>
        </w:tc>
        <w:tc>
          <w:tcPr>
            <w:tcW w:w="2551"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Là căn cứ trực tiếp cho tổ chức thẩm định, kiểm soát, phê duyệt thiết kế theo pháp luật xây dựng.</w:t>
            </w:r>
          </w:p>
        </w:tc>
        <w:tc>
          <w:tcPr>
            <w:tcW w:w="1984"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Không quy định lại hoặc khóa cứng chủ thể ngoài thẩm quyền.</w:t>
            </w:r>
          </w:p>
        </w:tc>
      </w:tr>
      <w:tr w:rsidR="00F044E7" w:rsidRPr="00F044E7" w:rsidTr="002D503D">
        <w:trPr>
          <w:jc w:val="center"/>
        </w:trPr>
        <w:tc>
          <w:tcPr>
            <w:tcW w:w="1228" w:type="dxa"/>
            <w:tcMar>
              <w:top w:w="45" w:type="dxa"/>
              <w:left w:w="45" w:type="dxa"/>
              <w:bottom w:w="45" w:type="dxa"/>
              <w:right w:w="45" w:type="dxa"/>
            </w:tcMar>
          </w:tcPr>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lastRenderedPageBreak/>
              <w:t>10</w:t>
            </w:r>
          </w:p>
        </w:tc>
        <w:tc>
          <w:tcPr>
            <w:tcW w:w="226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Pháp luật về đầu tư, đầu tư công, ngân sách nhà nước</w:t>
            </w:r>
          </w:p>
        </w:tc>
        <w:tc>
          <w:tcPr>
            <w:tcW w:w="2608"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Quy định chủ trương đầu tư, quyết định đầu tư, nguồn vốn, quản lý và quyết toán.</w:t>
            </w:r>
          </w:p>
        </w:tc>
        <w:tc>
          <w:tcPr>
            <w:tcW w:w="2551"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Thẩm quyền chuyên ngành di sản không thay thế trách nhiệm của người quyết định đầu tư.</w:t>
            </w:r>
          </w:p>
        </w:tc>
        <w:tc>
          <w:tcPr>
            <w:tcW w:w="1984" w:type="dxa"/>
            <w:tcMar>
              <w:top w:w="45" w:type="dxa"/>
              <w:left w:w="45" w:type="dxa"/>
              <w:bottom w:w="45" w:type="dxa"/>
              <w:right w:w="45" w:type="dxa"/>
            </w:tcMar>
          </w:tcPr>
          <w:p w:rsidR="00970DE3" w:rsidRPr="00F044E7" w:rsidRDefault="008213B4" w:rsidP="00553506">
            <w:pPr>
              <w:spacing w:before="120" w:after="120" w:line="240" w:lineRule="auto"/>
              <w:jc w:val="both"/>
              <w:rPr>
                <w:rFonts w:cs="Times New Roman"/>
                <w:szCs w:val="28"/>
              </w:rPr>
            </w:pPr>
            <w:r w:rsidRPr="00F044E7">
              <w:rPr>
                <w:rFonts w:cs="Times New Roman"/>
                <w:color w:val="000000"/>
                <w:szCs w:val="28"/>
              </w:rPr>
              <w:t>Giữ dẫn chiếu và phân định rõ trách nhiệm.</w:t>
            </w:r>
          </w:p>
        </w:tc>
      </w:tr>
      <w:tr w:rsidR="00F044E7" w:rsidRPr="00F044E7">
        <w:trPr>
          <w:jc w:val="center"/>
        </w:trPr>
        <w:tc>
          <w:tcPr>
            <w:tcW w:w="1228" w:type="dxa"/>
          </w:tcPr>
          <w:p w:rsidR="009D0FF1" w:rsidRPr="00F044E7" w:rsidRDefault="00AF4ADC">
            <w:r w:rsidRPr="00F044E7">
              <w:rPr>
                <w:color w:val="000000"/>
              </w:rPr>
              <w:t>11</w:t>
            </w:r>
          </w:p>
        </w:tc>
        <w:tc>
          <w:tcPr>
            <w:tcW w:w="2268" w:type="dxa"/>
          </w:tcPr>
          <w:p w:rsidR="009D0FF1" w:rsidRPr="00F044E7" w:rsidRDefault="00AF4ADC">
            <w:r w:rsidRPr="00F044E7">
              <w:rPr>
                <w:color w:val="000000"/>
              </w:rPr>
              <w:t>Nghị quyết số 39/2026/NQ-HĐND ngày 27/8/2026</w:t>
            </w:r>
          </w:p>
        </w:tc>
        <w:tc>
          <w:tcPr>
            <w:tcW w:w="2608" w:type="dxa"/>
          </w:tcPr>
          <w:p w:rsidR="009D0FF1" w:rsidRPr="00F044E7" w:rsidRDefault="00AF4ADC">
            <w:r w:rsidRPr="00F044E7">
              <w:rPr>
                <w:color w:val="000000"/>
              </w:rPr>
              <w:t>Điều 7-9 quy định hồ sơ soạn thảo, tham vấn chính sách, lấy ý kiến, đăng tải và hồ sơ thẩm định đối với văn bản thi hành Luật Phát triển đô thị.</w:t>
            </w:r>
          </w:p>
        </w:tc>
        <w:tc>
          <w:tcPr>
            <w:tcW w:w="2551" w:type="dxa"/>
          </w:tcPr>
          <w:p w:rsidR="009D0FF1" w:rsidRPr="00F044E7" w:rsidRDefault="00AF4ADC">
            <w:r w:rsidRPr="00F044E7">
              <w:rPr>
                <w:color w:val="000000"/>
              </w:rPr>
              <w:t>Là căn cứ quy trình trực tiếp đối với việc xây dựng Nghị quyết này.</w:t>
            </w:r>
          </w:p>
        </w:tc>
        <w:tc>
          <w:tcPr>
            <w:tcW w:w="1984" w:type="dxa"/>
          </w:tcPr>
          <w:p w:rsidR="009D0FF1" w:rsidRPr="00F044E7" w:rsidRDefault="00AF4ADC">
            <w:r w:rsidRPr="00F044E7">
              <w:rPr>
                <w:color w:val="000000"/>
              </w:rPr>
              <w:t>Bổ sung đầy đủ tài liệu; tham vấn Bộ Văn hóa, Thể thao và Du lịch và Ủy ban Mặt trận Tổ quốc Việt Nam Thành phố; tổng hợp kết quả trước khi gửi thẩm định.</w:t>
            </w:r>
          </w:p>
        </w:tc>
      </w:tr>
    </w:tbl>
    <w:p w:rsidR="00970DE3" w:rsidRPr="00F044E7" w:rsidRDefault="008213B4" w:rsidP="002D503D">
      <w:pPr>
        <w:spacing w:before="120" w:after="120" w:line="240" w:lineRule="auto"/>
        <w:ind w:firstLine="567"/>
        <w:jc w:val="both"/>
        <w:rPr>
          <w:rFonts w:cs="Times New Roman"/>
          <w:szCs w:val="28"/>
        </w:rPr>
      </w:pPr>
      <w:r w:rsidRPr="00F044E7">
        <w:rPr>
          <w:rFonts w:cs="Times New Roman"/>
          <w:b/>
          <w:color w:val="000000"/>
          <w:szCs w:val="28"/>
        </w:rPr>
        <w:t>V. ĐÁNH GIÁ PHƯƠNG ÁN DỰ THẢO</w:t>
      </w:r>
    </w:p>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1. Nội dung pháp luật trung ương đã quy định đầy đủ: hồ sơ chuyên ngành, nội dung kỹ thuật, nguyên tắc bảo tồn và các yêu cầu xây dựng đã được Luật Di sản văn hóa, Nghị định số 208/2025/NĐ-CP, Luật Xây dựng, Nghị định số 217/2026/NĐ-CP và pháp luật có liên quan quy định. Các nội dung này không cần đặt lại điều kiện hoặc thủ tục mới.</w:t>
      </w:r>
      <w:r w:rsidR="00700928" w:rsidRPr="00F044E7">
        <w:rPr>
          <w:rFonts w:cs="Times New Roman"/>
          <w:color w:val="000000"/>
          <w:szCs w:val="28"/>
        </w:rPr>
      </w:r>
      <w:r w:rsidRPr="00F044E7">
        <w:rPr>
          <w:rFonts w:cs="Times New Roman"/>
          <w:color w:val="000000"/>
          <w:szCs w:val="28"/>
        </w:rPr>
      </w:r>
    </w:p>
    <w:p w:rsidR="00970DE3" w:rsidRPr="00F044E7" w:rsidRDefault="008213B4" w:rsidP="002D503D">
      <w:pPr>
        <w:spacing w:before="120" w:after="120" w:line="240" w:lineRule="auto"/>
        <w:ind w:firstLine="567"/>
        <w:jc w:val="both"/>
        <w:rPr>
          <w:rFonts w:cs="Times New Roman"/>
          <w:szCs w:val="28"/>
        </w:rPr>
      </w:pPr>
      <w:r w:rsidRPr="00F044E7">
        <w:rPr>
          <w:color w:val="000000"/>
        </w:rPr>
        <w:t>2. Nội dung Thành phố cần quy định: chuỗi thực hiện điểm c khoản 2 Điều 26 Luật Phát triển đô thị số 18/2026/QH16 đối với di tích quốc gia, di tích quốc gia đặc biệt, bao gồm đầu mối, tham vấn, tổng hợp kết quả; trình Chủ tịch Ủy ban nhân dân Thành phố phê duyệt đối với di tích quốc gia đặc biệt hoặc có văn bản chấp thuận đối với di tích quốc gia; và các nội dung điều chỉnh thủ tục hành chính trong giới hạn Điều 7.</w:t>
      </w:r>
      <w:r w:rsidR="0037685E">
        <w:rPr>
          <w:color w:val="000000"/>
        </w:rPr>
      </w:r>
      <w:r w:rsidRPr="00F044E7">
        <w:rPr>
          <w:color w:val="000000"/>
        </w:rPr>
      </w:r>
    </w:p>
    <w:p w:rsidR="00970DE3" w:rsidRPr="00F044E7" w:rsidRDefault="008213B4" w:rsidP="002D503D">
      <w:pPr>
        <w:spacing w:before="120" w:after="120" w:line="240" w:lineRule="auto"/>
        <w:ind w:firstLine="567"/>
        <w:jc w:val="both"/>
        <w:rPr>
          <w:rFonts w:cs="Times New Roman"/>
          <w:szCs w:val="28"/>
        </w:rPr>
      </w:pPr>
      <w:r w:rsidRPr="00F044E7">
        <w:rPr>
          <w:rFonts w:cs="Times New Roman"/>
          <w:color w:val="000000"/>
          <w:szCs w:val="28"/>
        </w:rPr>
        <w:t xml:space="preserve">3. Nội dung cần thận trọng: phân định giữa ý kiến tham vấn và kết quả thẩm định; quan hệ Điều 11 với thủ tục xác nhận xuống cấp; việc chuyển đầu mối thẩm định </w:t>
      </w:r>
      <w:r w:rsidR="00A740D3" w:rsidRPr="00F044E7">
        <w:rPr>
          <w:rFonts w:cs="Times New Roman"/>
          <w:color w:val="000000"/>
          <w:szCs w:val="28"/>
        </w:rPr>
        <w:t>di tích quốc gia, di tích quốc gia đặc biệt</w:t>
      </w:r>
      <w:r w:rsidRPr="00F044E7">
        <w:rPr>
          <w:rFonts w:cs="Times New Roman"/>
          <w:color w:val="000000"/>
          <w:szCs w:val="28"/>
        </w:rPr>
        <w:t xml:space="preserve"> về Sở; thẩm quyền phê duyệt dự án, thiết kế; và việc sử dụng biểu mẫu địa phương. Các nội dung này cần tiếp tục được Sở Tư pháp và cơ quan chuyên ngành xem xét trong quá trình thẩm định.</w:t>
      </w:r>
    </w:p>
    <w:p w:rsidR="00970DE3" w:rsidRPr="00F044E7" w:rsidRDefault="008213B4" w:rsidP="002D503D">
      <w:pPr>
        <w:spacing w:before="120" w:after="120" w:line="240" w:lineRule="auto"/>
        <w:ind w:firstLine="567"/>
        <w:jc w:val="both"/>
        <w:rPr>
          <w:rFonts w:cs="Times New Roman"/>
          <w:szCs w:val="28"/>
        </w:rPr>
      </w:pPr>
      <w:r w:rsidRPr="00F044E7">
        <w:rPr>
          <w:rFonts w:cs="Times New Roman"/>
          <w:b/>
          <w:color w:val="000000"/>
          <w:szCs w:val="28"/>
        </w:rPr>
        <w:lastRenderedPageBreak/>
        <w:t>VI. KẾT LUẬN</w:t>
      </w:r>
    </w:p>
    <w:p w:rsidR="00970DE3" w:rsidRPr="00F044E7" w:rsidRDefault="008213B4" w:rsidP="002D503D">
      <w:pPr>
        <w:spacing w:before="120" w:after="480" w:line="240" w:lineRule="auto"/>
        <w:ind w:firstLine="567"/>
        <w:jc w:val="both"/>
        <w:rPr>
          <w:rFonts w:cs="Times New Roman"/>
          <w:szCs w:val="28"/>
        </w:rPr>
      </w:pPr>
      <w:r w:rsidRPr="00F044E7">
        <w:rPr>
          <w:rFonts w:cs="Times New Roman"/>
          <w:color w:val="000000"/>
          <w:szCs w:val="28"/>
        </w:rPr>
        <w:t>Việc ban hành Nghị quyết là cần thiết để có trình tự, thủ tục tổ chức thực hiện thẩm quyền được Luật Phát triển đô thị số 18/2026/QH16 giao đối với di tích quốc gia, di tích quốc gia đặc biệt. Việc chỉnh lý tiếp theo cần tập trung vào tính hợp pháp của từng điểm điều chỉnh, bảo đảm không làm phát sinh hồ sơ, điều kiện, thủ tục hoặc thời hạn vượt giới hạn của khoản 2 Điều 7 Luật Phát triển đô thị.</w:t>
      </w:r>
      <w:r w:rsidR="00A740D3" w:rsidRPr="00F044E7">
        <w:rPr>
          <w:rFonts w:cs="Times New Roman"/>
          <w:color w:val="000000"/>
          <w:szCs w:val="28"/>
        </w:rPr>
      </w:r>
      <w:r w:rsidRPr="00F044E7">
        <w:rPr>
          <w:rFonts w:cs="Times New Roman"/>
          <w:color w:val="000000"/>
          <w:szCs w:val="28"/>
        </w:rPr>
      </w:r>
      <w:r w:rsidR="00700928" w:rsidRPr="00F044E7">
        <w:rPr>
          <w:rFonts w:cs="Times New Roman"/>
          <w:color w:val="000000"/>
          <w:szCs w:val="28"/>
        </w:rPr>
      </w:r>
      <w:r w:rsidRPr="00F044E7">
        <w:rPr>
          <w:rFonts w:cs="Times New Roman"/>
          <w:color w:val="000000"/>
          <w:szCs w:val="28"/>
        </w:rPr>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2"/>
        <w:gridCol w:w="4702"/>
      </w:tblGrid>
      <w:tr w:rsidR="00970DE3" w:rsidRPr="00F044E7">
        <w:trPr>
          <w:jc w:val="center"/>
        </w:trPr>
        <w:tc>
          <w:tcPr>
            <w:tcW w:w="4702" w:type="dxa"/>
          </w:tcPr>
          <w:p w:rsidR="001F5F5A" w:rsidRPr="00F044E7" w:rsidRDefault="008213B4" w:rsidP="001F5F5A">
            <w:pPr>
              <w:spacing w:after="0" w:line="240" w:lineRule="auto"/>
              <w:contextualSpacing/>
              <w:rPr>
                <w:rFonts w:cs="Times New Roman"/>
                <w:sz w:val="24"/>
                <w:szCs w:val="24"/>
              </w:rPr>
            </w:pPr>
            <w:r w:rsidRPr="00F044E7">
              <w:rPr>
                <w:rFonts w:cs="Times New Roman"/>
                <w:b/>
                <w:i/>
                <w:color w:val="000000"/>
                <w:sz w:val="24"/>
                <w:szCs w:val="24"/>
              </w:rPr>
              <w:t>Nơi nhận:</w:t>
            </w:r>
            <w:r w:rsidRPr="00F044E7">
              <w:rPr>
                <w:rFonts w:cs="Times New Roman"/>
                <w:b/>
                <w:color w:val="000000"/>
                <w:sz w:val="24"/>
                <w:szCs w:val="24"/>
              </w:rPr>
              <w:br/>
            </w:r>
            <w:r w:rsidRPr="00F044E7">
              <w:rPr>
                <w:rFonts w:cs="Times New Roman"/>
                <w:color w:val="000000"/>
                <w:sz w:val="24"/>
                <w:szCs w:val="24"/>
              </w:rPr>
              <w:t xml:space="preserve">- </w:t>
            </w:r>
            <w:r w:rsidR="00EA28BA" w:rsidRPr="00F044E7">
              <w:rPr>
                <w:rFonts w:cs="Times New Roman"/>
                <w:color w:val="000000"/>
                <w:sz w:val="24"/>
                <w:szCs w:val="24"/>
              </w:rPr>
              <w:t>Như trên</w:t>
            </w:r>
            <w:r w:rsidRPr="00F044E7">
              <w:rPr>
                <w:rFonts w:cs="Times New Roman"/>
                <w:color w:val="000000"/>
                <w:sz w:val="24"/>
                <w:szCs w:val="24"/>
              </w:rPr>
              <w:t>;</w:t>
            </w:r>
            <w:r w:rsidRPr="00F044E7">
              <w:rPr>
                <w:rFonts w:cs="Times New Roman"/>
                <w:color w:val="000000"/>
                <w:sz w:val="24"/>
                <w:szCs w:val="24"/>
              </w:rPr>
              <w:br/>
              <w:t>- Sở Tư pháp;</w:t>
            </w:r>
            <w:r w:rsidRPr="00F044E7">
              <w:rPr>
                <w:rFonts w:cs="Times New Roman"/>
                <w:color w:val="000000"/>
                <w:sz w:val="24"/>
                <w:szCs w:val="24"/>
              </w:rPr>
              <w:br/>
            </w:r>
            <w:r w:rsidR="002D503D" w:rsidRPr="00F044E7">
              <w:rPr>
                <w:rFonts w:cs="Times New Roman"/>
                <w:color w:val="000000"/>
                <w:sz w:val="24"/>
                <w:szCs w:val="24"/>
              </w:rPr>
              <w:t xml:space="preserve">- </w:t>
            </w:r>
            <w:r w:rsidR="001F5F5A" w:rsidRPr="00F044E7">
              <w:rPr>
                <w:rFonts w:cs="Times New Roman"/>
                <w:color w:val="000000"/>
                <w:sz w:val="24"/>
                <w:szCs w:val="24"/>
              </w:rPr>
              <w:t>Ban Giám đốc</w:t>
            </w:r>
            <w:r w:rsidR="002D503D" w:rsidRPr="00F044E7">
              <w:rPr>
                <w:rFonts w:cs="Times New Roman"/>
                <w:color w:val="000000"/>
                <w:sz w:val="24"/>
                <w:szCs w:val="24"/>
              </w:rPr>
              <w:t xml:space="preserve"> Sở</w:t>
            </w:r>
            <w:r w:rsidR="001F5F5A" w:rsidRPr="00F044E7">
              <w:rPr>
                <w:rFonts w:cs="Times New Roman"/>
                <w:color w:val="000000"/>
                <w:sz w:val="24"/>
                <w:szCs w:val="24"/>
              </w:rPr>
              <w:t xml:space="preserve"> </w:t>
            </w:r>
            <w:r w:rsidR="001F5F5A" w:rsidRPr="00F044E7">
              <w:rPr>
                <w:rFonts w:cs="Times New Roman"/>
                <w:i/>
                <w:color w:val="000000"/>
                <w:sz w:val="24"/>
                <w:szCs w:val="24"/>
              </w:rPr>
              <w:t>(để báo cáo)</w:t>
            </w:r>
            <w:r w:rsidR="002D503D" w:rsidRPr="00F044E7">
              <w:rPr>
                <w:rFonts w:cs="Times New Roman"/>
                <w:color w:val="000000"/>
                <w:sz w:val="24"/>
                <w:szCs w:val="24"/>
              </w:rPr>
              <w:t>;</w:t>
            </w:r>
          </w:p>
          <w:p w:rsidR="001F5F5A" w:rsidRPr="00F044E7" w:rsidRDefault="001F5F5A" w:rsidP="001F5F5A">
            <w:pPr>
              <w:spacing w:after="0" w:line="240" w:lineRule="auto"/>
              <w:contextualSpacing/>
              <w:rPr>
                <w:rFonts w:cs="Times New Roman"/>
                <w:sz w:val="24"/>
                <w:szCs w:val="24"/>
              </w:rPr>
            </w:pPr>
            <w:r w:rsidRPr="00F044E7">
              <w:rPr>
                <w:rFonts w:cs="Times New Roman"/>
                <w:color w:val="000000"/>
                <w:sz w:val="24"/>
                <w:szCs w:val="24"/>
              </w:rPr>
              <w:t>- P.KH-TC;</w:t>
            </w:r>
          </w:p>
          <w:p w:rsidR="00970DE3" w:rsidRPr="00F044E7" w:rsidRDefault="001F5F5A" w:rsidP="001F5F5A">
            <w:pPr>
              <w:spacing w:after="0" w:line="240" w:lineRule="auto"/>
              <w:contextualSpacing/>
              <w:rPr>
                <w:rFonts w:cs="Times New Roman"/>
                <w:sz w:val="24"/>
                <w:szCs w:val="24"/>
              </w:rPr>
            </w:pPr>
            <w:r w:rsidRPr="00F044E7">
              <w:rPr>
                <w:rFonts w:cs="Times New Roman"/>
                <w:color w:val="000000"/>
                <w:sz w:val="24"/>
                <w:szCs w:val="24"/>
              </w:rPr>
              <w:t>- P.KT-PC;</w:t>
            </w:r>
            <w:r w:rsidR="002D503D" w:rsidRPr="00F044E7">
              <w:rPr>
                <w:rFonts w:cs="Times New Roman"/>
                <w:color w:val="000000"/>
                <w:sz w:val="24"/>
                <w:szCs w:val="24"/>
              </w:rPr>
              <w:br/>
              <w:t>- Lưu: VT, DSVH.</w:t>
            </w:r>
          </w:p>
        </w:tc>
        <w:tc>
          <w:tcPr>
            <w:tcW w:w="4702" w:type="dxa"/>
          </w:tcPr>
          <w:p w:rsidR="00970DE3" w:rsidRPr="00F044E7" w:rsidRDefault="002D503D" w:rsidP="002D503D">
            <w:pPr>
              <w:jc w:val="center"/>
              <w:rPr>
                <w:rFonts w:cs="Times New Roman"/>
                <w:szCs w:val="28"/>
              </w:rPr>
            </w:pPr>
            <w:r w:rsidRPr="00F044E7">
              <w:rPr>
                <w:rFonts w:cs="Times New Roman"/>
                <w:b/>
                <w:color w:val="000000"/>
                <w:szCs w:val="28"/>
              </w:rPr>
              <w:t>KT. GIÁM ĐỐC</w:t>
            </w:r>
            <w:r w:rsidRPr="00F044E7">
              <w:rPr>
                <w:rFonts w:cs="Times New Roman"/>
                <w:b/>
                <w:color w:val="000000"/>
                <w:szCs w:val="28"/>
              </w:rPr>
              <w:br/>
              <w:t>PHÓ GIÁM ĐỐC</w:t>
            </w:r>
            <w:r w:rsidR="008213B4" w:rsidRPr="00F044E7">
              <w:rPr>
                <w:rFonts w:cs="Times New Roman"/>
                <w:b/>
                <w:color w:val="000000"/>
                <w:szCs w:val="28"/>
              </w:rPr>
              <w:br/>
            </w:r>
          </w:p>
        </w:tc>
      </w:tr>
    </w:tbl>
    <w:p w:rsidR="008213B4" w:rsidRPr="00F044E7" w:rsidRDefault="008213B4">
      <w:pPr>
        <w:rPr>
          <w:rFonts w:cs="Times New Roman"/>
        </w:rPr>
      </w:pPr>
    </w:p>
    <w:sectPr w:rsidR="008213B4" w:rsidRPr="00F044E7" w:rsidSect="002D503D">
      <w:headerReference w:type="default" r:id="rId8"/>
      <w:footerReference w:type="default" r:id="rId9"/>
      <w:pgSz w:w="12240" w:h="15840"/>
      <w:pgMar w:top="1418" w:right="1134" w:bottom="1418"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AFD" w:rsidRDefault="005F1AFD" w:rsidP="002D503D">
      <w:pPr>
        <w:spacing w:after="0" w:line="240" w:lineRule="auto"/>
      </w:pPr>
      <w:r>
        <w:separator/>
      </w:r>
    </w:p>
  </w:endnote>
  <w:endnote w:type="continuationSeparator" w:id="0">
    <w:p w:rsidR="005F1AFD" w:rsidRDefault="005F1AFD" w:rsidP="002D5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FF1" w:rsidRDefault="009D0FF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AFD" w:rsidRDefault="005F1AFD" w:rsidP="002D503D">
      <w:pPr>
        <w:spacing w:after="0" w:line="240" w:lineRule="auto"/>
      </w:pPr>
      <w:r>
        <w:separator/>
      </w:r>
    </w:p>
  </w:footnote>
  <w:footnote w:type="continuationSeparator" w:id="0">
    <w:p w:rsidR="005F1AFD" w:rsidRDefault="005F1AFD" w:rsidP="002D50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99138"/>
      <w:docPartObj>
        <w:docPartGallery w:val="Page Numbers (Top of Page)"/>
        <w:docPartUnique/>
      </w:docPartObj>
    </w:sdtPr>
    <w:sdtEndPr>
      <w:rPr>
        <w:noProof/>
        <w:sz w:val="24"/>
        <w:szCs w:val="24"/>
      </w:rPr>
    </w:sdtEndPr>
    <w:sdtContent>
      <w:p w:rsidR="002D503D" w:rsidRPr="002D503D" w:rsidRDefault="002D503D">
        <w:pPr>
          <w:pStyle w:val="Header"/>
          <w:jc w:val="center"/>
          <w:rPr>
            <w:sz w:val="24"/>
            <w:szCs w:val="24"/>
          </w:rPr>
        </w:pPr>
        <w:r w:rsidRPr="002D503D">
          <w:rPr>
            <w:sz w:val="24"/>
            <w:szCs w:val="24"/>
          </w:rPr>
          <w:fldChar w:fldCharType="begin"/>
        </w:r>
        <w:r w:rsidRPr="002D503D">
          <w:rPr>
            <w:sz w:val="24"/>
            <w:szCs w:val="24"/>
          </w:rPr>
          <w:instrText xml:space="preserve"> PAGE   \* MERGEFORMAT </w:instrText>
        </w:r>
        <w:r w:rsidRPr="002D503D">
          <w:rPr>
            <w:sz w:val="24"/>
            <w:szCs w:val="24"/>
          </w:rPr>
          <w:fldChar w:fldCharType="separate"/>
        </w:r>
        <w:r w:rsidR="0037685E">
          <w:rPr>
            <w:noProof/>
            <w:sz w:val="24"/>
            <w:szCs w:val="24"/>
          </w:rPr>
          <w:t>7</w:t>
        </w:r>
        <w:r w:rsidRPr="002D503D">
          <w:rPr>
            <w:noProof/>
            <w:sz w:val="24"/>
            <w:szCs w:val="24"/>
          </w:rPr>
          <w:fldChar w:fldCharType="end"/>
        </w:r>
      </w:p>
    </w:sdtContent>
  </w:sdt>
  <w:p w:rsidR="002D503D" w:rsidRDefault="002D503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F5F5A"/>
    <w:rsid w:val="0029639D"/>
    <w:rsid w:val="002D503D"/>
    <w:rsid w:val="00326F90"/>
    <w:rsid w:val="0037685E"/>
    <w:rsid w:val="00553506"/>
    <w:rsid w:val="005721D1"/>
    <w:rsid w:val="005F1AFD"/>
    <w:rsid w:val="00700928"/>
    <w:rsid w:val="00754CC2"/>
    <w:rsid w:val="008213B4"/>
    <w:rsid w:val="00970DE3"/>
    <w:rsid w:val="00992D12"/>
    <w:rsid w:val="009D0FF1"/>
    <w:rsid w:val="00A740D3"/>
    <w:rsid w:val="00AA1D8D"/>
    <w:rsid w:val="00AF4ADC"/>
    <w:rsid w:val="00B47730"/>
    <w:rsid w:val="00CB0664"/>
    <w:rsid w:val="00EA28BA"/>
    <w:rsid w:val="00F044E7"/>
    <w:rsid w:val="00F55B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11B65891-A728-409D-B040-5DB7159AB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B5EE9-D1AF-4C4A-B221-181A51D53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1938</Words>
  <Characters>11051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2026-09-04T08:17:00Z</dcterms:created>
  <dcterms:modified xsi:type="dcterms:W3CDTF">2026-09-08T00:51:00Z</dcterms:modified>
  <cp:category/>
</cp:coreProperties>
</file>