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ayout w:type="fixed"/>
        <w:tblLook w:val="04A0" w:firstRow="1" w:lastRow="0" w:firstColumn="1" w:lastColumn="0" w:noHBand="0" w:noVBand="1"/>
      </w:tblPr>
      <w:tblGrid>
        <w:gridCol w:w="4077"/>
        <w:gridCol w:w="5846"/>
      </w:tblGrid>
      <w:tr w:rsidR="002D503D" w:rsidRPr="002D503D" w:rsidTr="00194E28">
        <w:trPr>
          <w:jc w:val="center"/>
        </w:trPr>
        <w:tc>
          <w:tcPr>
            <w:tcW w:w="4077" w:type="dxa"/>
          </w:tcPr>
          <w:p w:rsidR="002D503D" w:rsidRPr="002D503D" w:rsidRDefault="002D503D" w:rsidP="00194E28">
            <w:pPr>
              <w:spacing w:after="0" w:line="240" w:lineRule="auto"/>
              <w:ind w:firstLine="8"/>
              <w:jc w:val="center"/>
              <w:rPr>
                <w:rFonts w:cs="Times New Roman"/>
                <w:sz w:val="26"/>
                <w:szCs w:val="26"/>
              </w:rPr>
            </w:pPr>
            <w:r w:rsidRPr="002D503D">
              <w:rPr>
                <w:rFonts w:cs="Times New Roman"/>
                <w:sz w:val="26"/>
                <w:szCs w:val="26"/>
              </w:rPr>
              <w:t>ỦY BAN NHÂN DÂN</w:t>
            </w:r>
          </w:p>
          <w:p w:rsidR="002D503D" w:rsidRPr="002D503D" w:rsidRDefault="002D503D" w:rsidP="00194E28">
            <w:pPr>
              <w:spacing w:after="0" w:line="240" w:lineRule="auto"/>
              <w:ind w:firstLine="8"/>
              <w:jc w:val="center"/>
              <w:rPr>
                <w:rFonts w:cs="Times New Roman"/>
                <w:sz w:val="26"/>
                <w:szCs w:val="26"/>
              </w:rPr>
            </w:pPr>
            <w:r w:rsidRPr="002D503D">
              <w:rPr>
                <w:rFonts w:cs="Times New Roman"/>
                <w:sz w:val="26"/>
                <w:szCs w:val="26"/>
              </w:rPr>
              <w:t>THÀNH PHỐ HỒ CHÍ MINH</w:t>
            </w:r>
          </w:p>
          <w:p w:rsidR="002D503D" w:rsidRPr="002D503D" w:rsidRDefault="002D503D" w:rsidP="00194E28">
            <w:pPr>
              <w:spacing w:after="0" w:line="240" w:lineRule="auto"/>
              <w:ind w:firstLine="8"/>
              <w:jc w:val="center"/>
              <w:rPr>
                <w:rFonts w:cs="Times New Roman"/>
                <w:b/>
                <w:bCs/>
                <w:w w:val="95"/>
                <w:sz w:val="26"/>
                <w:szCs w:val="26"/>
              </w:rPr>
            </w:pPr>
            <w:r w:rsidRPr="002D503D">
              <w:rPr>
                <w:rFonts w:cs="Times New Roman"/>
                <w:noProof/>
                <w:sz w:val="26"/>
                <w:szCs w:val="26"/>
              </w:rPr>
              <mc:AlternateContent>
                <mc:Choice Requires="wps">
                  <w:drawing>
                    <wp:anchor distT="0" distB="0" distL="114300" distR="114300" simplePos="0" relativeHeight="251660288" behindDoc="0" locked="0" layoutInCell="1" allowOverlap="1" wp14:anchorId="2B6F2F10" wp14:editId="636D4D1B">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55C23"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sidRPr="002D503D">
              <w:rPr>
                <w:rFonts w:cs="Times New Roman"/>
                <w:b/>
                <w:sz w:val="26"/>
              </w:rPr>
              <w:t>SỞ VĂN HÓA VÀ THỂ THAO</w:t>
            </w:r>
            <w:r w:rsidRPr="002D503D">
              <w:rPr>
                <w:rFonts w:cs="Times New Roman"/>
                <w:b/>
                <w:sz w:val="26"/>
              </w:rPr>
              <w:br/>
            </w:r>
            <w:r w:rsidRPr="002D503D">
              <w:rPr>
                <w:rFonts w:cs="Times New Roman"/>
                <w:noProof/>
                <w:sz w:val="26"/>
                <w:szCs w:val="26"/>
              </w:rPr>
              <mc:AlternateContent>
                <mc:Choice Requires="wps">
                  <w:drawing>
                    <wp:anchor distT="0" distB="0" distL="114300" distR="114300" simplePos="0" relativeHeight="251659264" behindDoc="0" locked="0" layoutInCell="1" allowOverlap="1" wp14:anchorId="7333EBE8" wp14:editId="29EE2116">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E93D9" id="AutoShape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2D503D" w:rsidRPr="002D503D" w:rsidRDefault="002D503D" w:rsidP="00194E28">
            <w:pPr>
              <w:spacing w:after="0" w:line="240" w:lineRule="auto"/>
              <w:ind w:firstLine="567"/>
              <w:jc w:val="both"/>
              <w:rPr>
                <w:rFonts w:cs="Times New Roman"/>
                <w:sz w:val="26"/>
                <w:szCs w:val="26"/>
              </w:rPr>
            </w:pPr>
            <w:r w:rsidRPr="002D503D">
              <w:rPr>
                <w:rFonts w:cs="Times New Roman"/>
                <w:noProof/>
                <w:sz w:val="26"/>
                <w:szCs w:val="26"/>
              </w:rPr>
              <mc:AlternateContent>
                <mc:Choice Requires="wps">
                  <w:drawing>
                    <wp:anchor distT="0" distB="0" distL="114300" distR="114300" simplePos="0" relativeHeight="251661312" behindDoc="0" locked="0" layoutInCell="1" allowOverlap="1" wp14:anchorId="2F7821EF" wp14:editId="2EBA989B">
                      <wp:simplePos x="0" y="0"/>
                      <wp:positionH relativeFrom="column">
                        <wp:posOffset>600710</wp:posOffset>
                      </wp:positionH>
                      <wp:positionV relativeFrom="paragraph">
                        <wp:posOffset>189230</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2D503D" w:rsidRDefault="002D503D" w:rsidP="002D503D">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821EF" id="Text Box 2" o:spid="_x0000_s1026" style="position:absolute;left:0;text-align:left;margin-left:47.3pt;margin-top:14.9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D2J/cC3QAAAAgBAAAPAAAAZHJzL2Rvd25yZXYueG1s&#10;TI/BTsMwEETvSPyDtUjcqE0oVRLiVAhUJI5teuG2iU0SiNdR7LSBr2c5wXE0o5k3xXZxgzjZKfSe&#10;NNyuFAhLjTc9tRqO1e4mBREiksHBk9XwZQNsy8uLAnPjz7S3p0NsBZdQyFFDF+OYSxmazjoMKz9a&#10;Yu/dTw4jy6mVZsIzl7tBJkptpMOeeKHD0T51tvk8zE5D3SdH/N5XL8plu7v4ulQf89uz1tdXy+MD&#10;iGiX+BeGX3xGh5KZaj+TCWLQkK03nNSQZPyA/SS9X4OoNaQqBVkW8v+B8gcAAP//AwBQSwECLQAU&#10;AAYACAAAACEAtoM4kv4AAADhAQAAEwAAAAAAAAAAAAAAAAAAAAAAW0NvbnRlbnRfVHlwZXNdLnht&#10;bFBLAQItABQABgAIAAAAIQA4/SH/1gAAAJQBAAALAAAAAAAAAAAAAAAAAC8BAABfcmVscy8ucmVs&#10;c1BLAQItABQABgAIAAAAIQAezIpDJgIAAEYEAAAOAAAAAAAAAAAAAAAAAC4CAABkcnMvZTJvRG9j&#10;LnhtbFBLAQItABQABgAIAAAAIQD2J/cC3QAAAAgBAAAPAAAAAAAAAAAAAAAAAIAEAABkcnMvZG93&#10;bnJldi54bWxQSwUGAAAAAAQABADzAAAAigUAAAAA&#10;">
                      <v:textbox>
                        <w:txbxContent>
                          <w:p w:rsidR="002D503D" w:rsidRDefault="002D503D" w:rsidP="002D503D">
                            <w:pPr>
                              <w:jc w:val="center"/>
                              <w:rPr>
                                <w:b/>
                                <w:bCs/>
                              </w:rPr>
                            </w:pPr>
                            <w:r>
                              <w:rPr>
                                <w:b/>
                                <w:bCs/>
                              </w:rPr>
                              <w:t>Dự thảo</w:t>
                            </w:r>
                          </w:p>
                        </w:txbxContent>
                      </v:textbox>
                    </v:rect>
                  </w:pict>
                </mc:Fallback>
              </mc:AlternateContent>
            </w:r>
            <w:r w:rsidRPr="002D503D">
              <w:rPr>
                <w:rFonts w:cs="Times New Roman"/>
                <w:sz w:val="26"/>
                <w:szCs w:val="26"/>
              </w:rPr>
              <w:tab/>
              <w:t xml:space="preserve">Số:            </w:t>
            </w:r>
          </w:p>
          <w:p w:rsidR="002D503D" w:rsidRPr="002D503D" w:rsidRDefault="002D503D" w:rsidP="00194E28">
            <w:pPr>
              <w:spacing w:after="0" w:line="240" w:lineRule="auto"/>
              <w:ind w:firstLine="567"/>
              <w:jc w:val="both"/>
              <w:rPr>
                <w:rFonts w:cs="Times New Roman"/>
                <w:w w:val="90"/>
                <w:sz w:val="26"/>
                <w:szCs w:val="26"/>
              </w:rPr>
            </w:pPr>
          </w:p>
        </w:tc>
        <w:tc>
          <w:tcPr>
            <w:tcW w:w="5846" w:type="dxa"/>
          </w:tcPr>
          <w:p w:rsidR="002D503D" w:rsidRPr="002D503D" w:rsidRDefault="002D503D" w:rsidP="00194E28">
            <w:pPr>
              <w:keepNext/>
              <w:spacing w:after="0" w:line="240" w:lineRule="auto"/>
              <w:ind w:firstLine="39"/>
              <w:jc w:val="center"/>
              <w:rPr>
                <w:rFonts w:cs="Times New Roman"/>
                <w:b/>
                <w:bCs/>
                <w:sz w:val="26"/>
                <w:szCs w:val="26"/>
              </w:rPr>
            </w:pPr>
            <w:r w:rsidRPr="002D503D">
              <w:rPr>
                <w:rFonts w:cs="Times New Roman"/>
                <w:b/>
                <w:bCs/>
                <w:sz w:val="26"/>
                <w:szCs w:val="26"/>
              </w:rPr>
              <w:t>CỘNG HÒA XÃ HỘI CHỦ NGHĨA VIỆT NAM</w:t>
            </w:r>
          </w:p>
          <w:p w:rsidR="002D503D" w:rsidRPr="002D503D" w:rsidRDefault="002D503D" w:rsidP="00194E28">
            <w:pPr>
              <w:keepNext/>
              <w:spacing w:after="0" w:line="240" w:lineRule="auto"/>
              <w:ind w:firstLine="39"/>
              <w:jc w:val="center"/>
              <w:rPr>
                <w:rFonts w:cs="Times New Roman"/>
                <w:b/>
                <w:bCs/>
                <w:sz w:val="26"/>
                <w:szCs w:val="26"/>
              </w:rPr>
            </w:pPr>
            <w:r w:rsidRPr="002D503D">
              <w:rPr>
                <w:rFonts w:cs="Times New Roman"/>
                <w:b/>
                <w:bCs/>
                <w:sz w:val="26"/>
                <w:szCs w:val="26"/>
              </w:rPr>
              <w:t>Độc lập – Tự do – Hạnh phúc</w:t>
            </w:r>
          </w:p>
          <w:p w:rsidR="002D503D" w:rsidRPr="002D503D" w:rsidRDefault="002D503D" w:rsidP="00194E28">
            <w:pPr>
              <w:keepNext/>
              <w:spacing w:before="240" w:after="0" w:line="240" w:lineRule="auto"/>
              <w:ind w:firstLine="40"/>
              <w:jc w:val="center"/>
              <w:rPr>
                <w:rFonts w:cs="Times New Roman"/>
                <w:i/>
                <w:iCs/>
                <w:sz w:val="26"/>
                <w:szCs w:val="26"/>
                <w:lang w:val="vi-VN"/>
              </w:rPr>
            </w:pPr>
            <w:r w:rsidRPr="002D503D">
              <w:rPr>
                <w:rFonts w:cs="Times New Roman"/>
                <w:i/>
                <w:iCs/>
                <w:noProof/>
                <w:sz w:val="26"/>
                <w:szCs w:val="26"/>
              </w:rPr>
              <mc:AlternateContent>
                <mc:Choice Requires="wps">
                  <w:drawing>
                    <wp:anchor distT="0" distB="0" distL="114300" distR="114300" simplePos="0" relativeHeight="251662336" behindDoc="0" locked="0" layoutInCell="1" allowOverlap="1" wp14:anchorId="477D306D" wp14:editId="28B78F54">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D532B"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2D503D">
              <w:rPr>
                <w:rFonts w:cs="Times New Roman"/>
                <w:i/>
                <w:iCs/>
                <w:sz w:val="26"/>
                <w:szCs w:val="26"/>
              </w:rPr>
              <w:t>Thành phố Hồ Chí Minh, ngày      tháng    năm 2026</w:t>
            </w:r>
          </w:p>
        </w:tc>
      </w:tr>
    </w:tbl>
    <w:p w:rsidR="00970DE3" w:rsidRPr="002D503D" w:rsidRDefault="008213B4" w:rsidP="005721D1">
      <w:pPr>
        <w:spacing w:before="120" w:after="120" w:line="240" w:lineRule="auto"/>
        <w:jc w:val="center"/>
        <w:rPr>
          <w:rFonts w:cs="Times New Roman"/>
          <w:szCs w:val="28"/>
        </w:rPr>
      </w:pPr>
      <w:r w:rsidRPr="002D503D">
        <w:rPr>
          <w:rFonts w:cs="Times New Roman"/>
          <w:b/>
          <w:szCs w:val="28"/>
        </w:rPr>
        <w:t>BÁO CÁO</w:t>
      </w:r>
    </w:p>
    <w:p w:rsidR="00970DE3" w:rsidRPr="002D503D" w:rsidRDefault="008213B4" w:rsidP="005721D1">
      <w:pPr>
        <w:spacing w:before="120" w:after="120" w:line="240" w:lineRule="auto"/>
        <w:jc w:val="center"/>
        <w:rPr>
          <w:rFonts w:cs="Times New Roman"/>
          <w:szCs w:val="28"/>
        </w:rPr>
      </w:pPr>
      <w:r w:rsidRPr="002D503D">
        <w:rPr>
          <w:rFonts w:cs="Times New Roman"/>
          <w:b/>
          <w:szCs w:val="28"/>
        </w:rPr>
        <w:t xml:space="preserve">Đánh giá thực trạng quan hệ xã hội và rà soát chủ trương, đường lối của Đảng, văn bản quy phạm pháp luật có liên quan đến dự thảo Nghị quyết </w:t>
      </w:r>
      <w:r w:rsidR="002D503D">
        <w:rPr>
          <w:rFonts w:cs="Times New Roman"/>
          <w:b/>
          <w:szCs w:val="28"/>
        </w:rPr>
        <w:br/>
      </w:r>
      <w:r w:rsidR="005721D1">
        <w:rPr>
          <w:b/>
        </w:rPr>
        <w:t>q</w:t>
      </w:r>
      <w:r w:rsidR="005721D1" w:rsidRPr="00684532">
        <w:rPr>
          <w:b/>
        </w:rPr>
        <w:t xml:space="preserve">uy định trình tự, thủ tục bảo quản, tu bổ, phục hồi di tích quốc gia, </w:t>
      </w:r>
      <w:r w:rsidR="005721D1" w:rsidRPr="00684532">
        <w:rPr>
          <w:b/>
        </w:rPr>
        <w:br/>
        <w:t xml:space="preserve">di tích quốc gia đặc biệt, di tích cấp tỉnh và di tích thuộc Danh mục kiểm kê </w:t>
      </w:r>
      <w:r w:rsidR="005721D1">
        <w:rPr>
          <w:b/>
        </w:rPr>
        <w:br/>
      </w:r>
      <w:r w:rsidR="005721D1" w:rsidRPr="00684532">
        <w:rPr>
          <w:b/>
        </w:rPr>
        <w:t>di tích trên địa bàn Thành phố Hồ Chí Minh</w:t>
      </w:r>
    </w:p>
    <w:p w:rsidR="002D503D" w:rsidRPr="00580AAA" w:rsidRDefault="002D503D" w:rsidP="002D503D">
      <w:pPr>
        <w:spacing w:before="360" w:after="120"/>
        <w:ind w:firstLine="720"/>
        <w:jc w:val="center"/>
      </w:pPr>
      <w:r w:rsidRPr="00580AAA">
        <w:rPr>
          <w:b/>
          <w:bCs/>
          <w:noProof/>
        </w:rPr>
        <mc:AlternateContent>
          <mc:Choice Requires="wps">
            <w:drawing>
              <wp:anchor distT="0" distB="0" distL="114300" distR="114300" simplePos="0" relativeHeight="251664384" behindDoc="0" locked="0" layoutInCell="1" allowOverlap="1" wp14:anchorId="72DEB2BE" wp14:editId="647C09E6">
                <wp:simplePos x="0" y="0"/>
                <wp:positionH relativeFrom="column">
                  <wp:posOffset>2343150</wp:posOffset>
                </wp:positionH>
                <wp:positionV relativeFrom="paragraph">
                  <wp:posOffset>44450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E2B64F"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5pt" to="2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xdR98d0AAAAHAQAADwAAAGRycy9kb3ducmV2LnhtbEyPT0vDQBDF74LfYRnBm92Y&#10;YtSYTRGhRbw1FsTbJjv5Q7OzIbtNUz+9Uy/1NPN4w5vfy1az7cWEo+8cKbhfRCCQKmc6ahTsPtd3&#10;TyB80GR07wgVnNDDKr++ynRq3JG2OBWhERxCPtUK2hCGVEpftWi1X7gBib3ajVYHlmMjzaiPHG57&#10;GUdRIq3uiD+0esC3Fqt9cbAK1mV9+v7ZfL3H9SZu9x/L3XYqIqVub+bXFxAB53A5hjM+o0POTKU7&#10;kPGiV7BMnrlLUPDIg/2H5LyUf1rmmfzPn/8CAAD//wMAUEsBAi0AFAAGAAgAAAAhALaDOJL+AAAA&#10;4QEAABMAAAAAAAAAAAAAAAAAAAAAAFtDb250ZW50X1R5cGVzXS54bWxQSwECLQAUAAYACAAAACEA&#10;OP0h/9YAAACUAQAACwAAAAAAAAAAAAAAAAAvAQAAX3JlbHMvLnJlbHNQSwECLQAUAAYACAAAACEA&#10;7sVpj9wBAAAVBAAADgAAAAAAAAAAAAAAAAAuAgAAZHJzL2Uyb0RvYy54bWxQSwECLQAUAAYACAAA&#10;ACEAxdR98d0AAAAHAQAADwAAAAAAAAAAAAAAAAA2BAAAZHJzL2Rvd25yZXYueG1sUEsFBgAAAAAE&#10;AAQA8wAAAEAFAAAAAA==&#10;" strokecolor="black [3213]"/>
            </w:pict>
          </mc:Fallback>
        </mc:AlternateContent>
      </w:r>
      <w:r>
        <w:t>Kính gửi: Ủy ban nhân dân Thành phố Hồ Chí Minh.</w:t>
      </w:r>
    </w:p>
    <w:p w:rsidR="00970DE3" w:rsidRPr="002D503D" w:rsidRDefault="008213B4" w:rsidP="002D503D">
      <w:pPr>
        <w:spacing w:before="480" w:after="120" w:line="240" w:lineRule="auto"/>
        <w:ind w:firstLine="567"/>
        <w:jc w:val="both"/>
        <w:rPr>
          <w:rFonts w:cs="Times New Roman"/>
          <w:szCs w:val="28"/>
        </w:rPr>
      </w:pPr>
      <w:r w:rsidRPr="002D503D">
        <w:rPr>
          <w:rFonts w:cs="Times New Roman"/>
          <w:szCs w:val="28"/>
        </w:rPr>
        <w:t xml:space="preserve">Căn cứ Luật Ban hành văn bản quy phạm pháp luật số 64/2025/QH15 ngày 19 tháng 02 năm 2025, được sửa đổi, bổ sung bởi Luật số 87/2025/QH15 ngày 25 tháng 6 năm 2025; Luật Phát triển đô thị số 18/2026/QH16, đặc biệt Điều 7, điểm c khoản 2 </w:t>
      </w:r>
      <w:r w:rsidR="002D503D" w:rsidRPr="002D503D">
        <w:rPr>
          <w:rFonts w:cs="Times New Roman"/>
          <w:szCs w:val="28"/>
        </w:rPr>
        <w:t>Điều 26</w:t>
      </w:r>
      <w:r w:rsidRPr="002D503D">
        <w:rPr>
          <w:rFonts w:cs="Times New Roman"/>
          <w:szCs w:val="28"/>
        </w:rPr>
        <w:t xml:space="preserve"> và Điều 65; Luật Di sản văn hóa số 45/2024/QH15 ngày 23 tháng 11 năm 2024; Nghị định số 208/2025/NĐ-CP ngày 17 tháng 7 năm 2025; Nghị định số 308/2025/NĐ-CP ngày 28 tháng 11 năm 2025; Luật Xây dựng số 135/2025/QH15 ngày 10 tháng 12 năm 2025; Nghị định số 217/2026/NĐ-CP ngày 19 tháng 6 năm 2026 và pháp luật về đầu tư, đầu tư công, ngân sách nhà nước có liên quan, Sở Văn hóa và Thể thao đánh giá thực trạng như sau:</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I. MỤC ĐÍCH, PHẠM VI ĐÁNH GIÁ</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Báo cáo nhằm làm rõ thực trạng quản lý nhà nước và quan hệ phát sinh trong quá trình chuẩn bị, thẩm định, phê duyệt, điều chỉnh và tổ chức thực hiện hoạt động bảo quản, tu bổ, phục hồi di tích; xác định những nội dung pháp luật trung ương đã quy định đầy đủ, những nội dung Luật Phát triển đô thị giao Thành phố quyết định và những điểm giao thoa cần phân định trách nhiệm.</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Phạm vi tập trung vào di tích quốc gia, di tích quốc gia đặc biệt theo điểm c khoản 2 </w:t>
      </w:r>
      <w:r w:rsidR="002D503D" w:rsidRPr="002D503D">
        <w:rPr>
          <w:rFonts w:cs="Times New Roman"/>
          <w:szCs w:val="28"/>
        </w:rPr>
        <w:t>Điều 26</w:t>
      </w:r>
      <w:r w:rsidRPr="002D503D">
        <w:rPr>
          <w:rFonts w:cs="Times New Roman"/>
          <w:szCs w:val="28"/>
        </w:rPr>
        <w:t xml:space="preserve"> Luật Phát triển đô thị số 18/2026/QH16; đồng thời xem xét cách tổ chức thực hiện đối với di tích cấp tỉnh và di tích thuộc Danh mục kiểm kê di tích trong phạm vi pháp luật di sản văn hóa đã quy định.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II. THỰC TRẠNG QUẢN LÝ VÀ CÁC QUAN HỆ PHÁP LÝ PHÁT SINH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1. Đa dạng về chủ thể quản lý, nguồn vốn và người quyết định đầu tư</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lastRenderedPageBreak/>
        <w:t>Di tích trên địa bàn Thành phố thuộc nhiều loại hình sở hữu, do cơ quan nhà nước, đơn vị sự nghiệp, tổ chức tôn giáo, tổ chức xã hội, cộng đồng hoặc chủ thể khác quản lý, sử dụng. Nguồn vốn tu bổ có thể là đầu tư công, ngân sách thường xuyên, nguồn xã hội hóa hoặc nguồn hợp pháp khác. Vì vậy, cơ quan quản lý di tích, chủ đầu tư và người quyết định đầu tư không phải lúc nào cũng là một chủ thể; quy trình cần xác định rõ trách nhiệm ở từng giai đoạn để tránh nhầm lẫn giữa thẩm quyền chuyên ngành di sản và thẩm quyền quyết định đầu tư.</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2. Một hồ sơ chịu đồng thời nhiều hệ thống pháp luật</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Hoạt động tu bổ di tích đồng thời chịu sự điều chỉnh của pháp luật di sản văn hóa, xây dựng, đầu tư công, ngân sách, quy hoạch, đất đai, môi trường, phòng cháy chữa cháy và pháp luật có liên quan. Pháp luật di sản tập trung vào giá trị di tích, yếu tố gốc, giải pháp bảo quản, tu bổ, phục hồi; pháp luật xây dựng điều chỉnh an toàn công trình, quy chuẩn, tiêu chuẩn, chi phí, quản lý chất lượng và thiết kế xây dựng. Thực tiễn cần một cơ chế xác định rõ phạm vi thẩm định của từng cơ quan, tránh thẩm định trùng hoặc bỏ sót.</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3. Yêu cầu mới về tham vấn theo Luật Phát triển đô thị</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Điểm c khoản 2 </w:t>
      </w:r>
      <w:r w:rsidR="002D503D" w:rsidRPr="002D503D">
        <w:rPr>
          <w:rFonts w:cs="Times New Roman"/>
          <w:szCs w:val="28"/>
        </w:rPr>
        <w:t>Điều 26</w:t>
      </w:r>
      <w:r w:rsidRPr="002D503D">
        <w:rPr>
          <w:rFonts w:cs="Times New Roman"/>
          <w:szCs w:val="28"/>
        </w:rPr>
        <w:t xml:space="preserve"> Luật Phát triển đô thị số 18/2026/QH16 thiết lập cơ chế quyết định của Thành phố đối với bảo quản, tu bổ, phục hồi di tích quốc gia, di tích quốc gia đặc biệt sau khi tham vấn cơ quan quản lý nhà nước về văn hóa ở trung ương. Cơ chế này đặt ra nhu cầu xác định thời điểm tham vấn, hồ sơ gửi tham vấn, trách nhiệm tổng hợp, tiếp thu, giải trình và cách sử dụng ý kiến tham vấn trong chuỗi thẩm định, phê duyệt.</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4. Các thủ tục chuyên ngành hiện hành đã khá đầy đủ nhưng phân tán theo từng giai đoạn</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Nghị định số 208/2025/NĐ-CP đã quy định từ Điều 13 đến Điều 41 về quy hoạch di tích; xác nhận di tích xuống cấp; Báo cáo nghiên cứu khả thi, Báo cáo kinh tế - kỹ thuật; tu sửa cấp thiết; Thiết kế bản vẽ thi công và điều chỉnh. Tuy nhiên, khi áp dụng cơ chế đặc thù của Luật Phát triển đô thị, các thủ tục này cần được kết nối lại về đầu mối, trình tự và quan hệ giữa tham vấn với thẩm định, phê duyệt tại Thành phố.</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 xml:space="preserve">5. Nhu cầu phân biệt nhóm </w:t>
      </w:r>
      <w:r w:rsidR="00A740D3">
        <w:rPr>
          <w:rFonts w:cs="Times New Roman"/>
          <w:b/>
          <w:szCs w:val="28"/>
        </w:rPr>
        <w:t>di tích quốc gia, di tích quốc gia đặc biệt</w:t>
      </w:r>
      <w:r w:rsidRPr="002D503D">
        <w:rPr>
          <w:rFonts w:cs="Times New Roman"/>
          <w:b/>
          <w:szCs w:val="28"/>
        </w:rPr>
        <w:t xml:space="preserve"> với </w:t>
      </w:r>
      <w:r w:rsidR="00700928">
        <w:rPr>
          <w:rFonts w:cs="Times New Roman"/>
          <w:b/>
          <w:szCs w:val="28"/>
        </w:rPr>
        <w:t>di tích cấp tỉnh, di tích thuộc Danh mục kiểm kê di tích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Đối với di tích cấp tỉnh và di tích thuộc Danh mục kiểm kê, Luật Phát triển đô thị không giao cơ chế tham vấn đặc thù như đối với </w:t>
      </w:r>
      <w:r w:rsidR="00A740D3">
        <w:rPr>
          <w:rFonts w:cs="Times New Roman"/>
          <w:szCs w:val="28"/>
        </w:rPr>
        <w:t>di tích quốc gia, di tích quốc gia đặc biệt</w:t>
      </w:r>
      <w:r w:rsidRPr="002D503D">
        <w:rPr>
          <w:rFonts w:cs="Times New Roman"/>
          <w:szCs w:val="28"/>
        </w:rPr>
        <w:t>. Do đó, việc đưa các nhóm này vào cùng dự thảo chỉ nên nhằm đồng bộ cấu trúc và tổ chức thực hiện; không được làm thay đổi thẩm quyền, hồ sơ, điều kiện, thời hạn mà Nghị định số 208/2025/NĐ-CP đã quy định.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lastRenderedPageBreak/>
        <w:t>6. Yêu cầu xử lý hồ sơ điện tử và lưu trữ vòng đời can thiệp di tích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Hồ sơ tu bổ có khối lượng lớn, gồm ảnh, bản vẽ và tài liệu kỹ thuật. Việc tiếp nhận bản mềm PDF, tài liệu gắn mã QR Code và quản lý dữ liệu điện tử giúp giảm luân chuyển, hỗ trợ đối chiếu các lần can thiệp và lưu trữ lâu dài. Tuy nhiên, cách thức thực hiện phải bảo đảm không trở thành yêu cầu nộp thêm một bộ hồ sơ ngoài thành phần pháp luật quy định; đồng thời bảo đảm an toàn thông tin, tính toàn vẹn và khả năng khai thác dữ liệu.</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III. NHỮNG VƯỚNG MẮC, YÊU CẦU CẦN GIẢI QUYẾT TRONG DỰ THẢO</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1. Xác định rõ bản chất quyết định của Thành phố theo điểm c khoản 2 </w:t>
      </w:r>
      <w:r w:rsidR="002D503D" w:rsidRPr="002D503D">
        <w:rPr>
          <w:rFonts w:cs="Times New Roman"/>
          <w:szCs w:val="28"/>
        </w:rPr>
        <w:t>Điều 26</w:t>
      </w:r>
      <w:r w:rsidRPr="002D503D">
        <w:rPr>
          <w:rFonts w:cs="Times New Roman"/>
          <w:szCs w:val="28"/>
        </w:rPr>
        <w:t xml:space="preserve"> Luật Phát triển đô thị số 18/2026/QH16 và mối quan hệ của quyết định này với quyết định đầu tư, phê duyệt dự án, phê duyệt thiết kế theo pháp luật chuyên ngành.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2. Xác định Sở Văn hóa và Thể thao là đầu mối chuyên ngành di sản; phân định nội dung do cơ quan xây dựng và cơ quan chuyên ngành khác thực hiện; không sử dụng khái niệm “thẩm định liên ngành” theo hướng làm thay trách nhiệm chuyên môn của từng cơ quan.</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3. Làm rõ thời điểm và hồ sơ tham vấn Bộ Văn hóa, Thể thao và Du lịch; cơ chế tiếp thu, giải trình khi ý kiến tham vấn có nội dung khác với ý kiến của cơ quan Thành phố.</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4. Đối với Điều 11, làm rõ quan hệ với thủ tục xác nhận di tích xuống cấp tại Điều 22 Nghị định số 208/2025/NĐ-CP để không hình thành hai bước thủ tục có cùng mục đích.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5. Đối với Thiết kế bản vẽ thi công, chỉ quy định thẩm định chuyên ngành di sản trong phạm vi cần thiết; bước thẩm định, kiểm soát, phê duyệt thiết kế xây dựng phải tuân thủ Luật Xây dựng số 135/2025/QH15 và Nghị định số 217/2026/NĐ-CP.</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6. Đối với di tích cấp tỉnh và di tích thuộc Danh mục kiểm kê, sử dụng cấu trúc tương đồng để thuận tiện áp dụng nhưng phải ghi nhận rõ đây là việc tổ chức thực hiện quy định hiện hành, không phải cơ chế đặc thù mới của Thành phố.</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7. Chuẩn hóa biểu mẫu theo hướng hỗ trợ tổng hợp thông tin; biểu mẫu địa phương không được làm phát sinh thành phần hồ sơ, điều kiện hoặc giấy tờ ngoài quy định của pháp luật trung ương.</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IV. RÀ SOÁT CHỦ TRƯƠNG, ĐƯỜNG LỐI VÀ VĂN BẢN PHÁP LUẬT CÓ LIÊN QUAN</w:t>
      </w:r>
    </w:p>
    <w:tbl>
      <w:tblPr>
        <w:tblW w:w="10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8"/>
        <w:gridCol w:w="2268"/>
        <w:gridCol w:w="2608"/>
        <w:gridCol w:w="2551"/>
        <w:gridCol w:w="1984"/>
      </w:tblGrid>
      <w:tr w:rsidR="00970DE3" w:rsidRPr="002D503D" w:rsidTr="002D503D">
        <w:trPr>
          <w:tblHeader/>
          <w:jc w:val="center"/>
        </w:trPr>
        <w:tc>
          <w:tcPr>
            <w:tcW w:w="1228" w:type="dxa"/>
          </w:tcPr>
          <w:p w:rsidR="00970DE3" w:rsidRPr="002D503D" w:rsidRDefault="008213B4" w:rsidP="00553506">
            <w:pPr>
              <w:spacing w:before="120" w:after="120" w:line="240" w:lineRule="auto"/>
              <w:jc w:val="center"/>
              <w:rPr>
                <w:rFonts w:cs="Times New Roman"/>
                <w:szCs w:val="28"/>
              </w:rPr>
            </w:pPr>
            <w:r w:rsidRPr="002D503D">
              <w:rPr>
                <w:rFonts w:cs="Times New Roman"/>
                <w:b/>
                <w:szCs w:val="28"/>
              </w:rPr>
              <w:lastRenderedPageBreak/>
              <w:t>STT</w:t>
            </w:r>
          </w:p>
        </w:tc>
        <w:tc>
          <w:tcPr>
            <w:tcW w:w="2268" w:type="dxa"/>
          </w:tcPr>
          <w:p w:rsidR="00970DE3" w:rsidRPr="002D503D" w:rsidRDefault="008213B4" w:rsidP="00553506">
            <w:pPr>
              <w:spacing w:before="120" w:after="120" w:line="240" w:lineRule="auto"/>
              <w:jc w:val="center"/>
              <w:rPr>
                <w:rFonts w:cs="Times New Roman"/>
                <w:szCs w:val="28"/>
              </w:rPr>
            </w:pPr>
            <w:r w:rsidRPr="002D503D">
              <w:rPr>
                <w:rFonts w:cs="Times New Roman"/>
                <w:b/>
                <w:szCs w:val="28"/>
              </w:rPr>
              <w:t>Chủ trương/văn bản</w:t>
            </w:r>
          </w:p>
        </w:tc>
        <w:tc>
          <w:tcPr>
            <w:tcW w:w="2608" w:type="dxa"/>
          </w:tcPr>
          <w:p w:rsidR="00970DE3" w:rsidRPr="002D503D" w:rsidRDefault="008213B4" w:rsidP="00553506">
            <w:pPr>
              <w:spacing w:before="120" w:after="120" w:line="240" w:lineRule="auto"/>
              <w:jc w:val="center"/>
              <w:rPr>
                <w:rFonts w:cs="Times New Roman"/>
                <w:szCs w:val="28"/>
              </w:rPr>
            </w:pPr>
            <w:r w:rsidRPr="002D503D">
              <w:rPr>
                <w:rFonts w:cs="Times New Roman"/>
                <w:b/>
                <w:szCs w:val="28"/>
              </w:rPr>
              <w:t>Nội dung liên quan</w:t>
            </w:r>
          </w:p>
        </w:tc>
        <w:tc>
          <w:tcPr>
            <w:tcW w:w="2551" w:type="dxa"/>
          </w:tcPr>
          <w:p w:rsidR="00970DE3" w:rsidRPr="002D503D" w:rsidRDefault="008213B4" w:rsidP="00553506">
            <w:pPr>
              <w:spacing w:before="120" w:after="120" w:line="240" w:lineRule="auto"/>
              <w:jc w:val="center"/>
              <w:rPr>
                <w:rFonts w:cs="Times New Roman"/>
                <w:szCs w:val="28"/>
              </w:rPr>
            </w:pPr>
            <w:r w:rsidRPr="002D503D">
              <w:rPr>
                <w:rFonts w:cs="Times New Roman"/>
                <w:b/>
                <w:szCs w:val="28"/>
              </w:rPr>
              <w:t>Đánh giá đối với dự thảo</w:t>
            </w:r>
          </w:p>
        </w:tc>
        <w:tc>
          <w:tcPr>
            <w:tcW w:w="1984" w:type="dxa"/>
          </w:tcPr>
          <w:p w:rsidR="00970DE3" w:rsidRPr="002D503D" w:rsidRDefault="008213B4" w:rsidP="00553506">
            <w:pPr>
              <w:spacing w:before="120" w:after="120" w:line="240" w:lineRule="auto"/>
              <w:jc w:val="center"/>
              <w:rPr>
                <w:rFonts w:cs="Times New Roman"/>
                <w:szCs w:val="28"/>
              </w:rPr>
            </w:pPr>
            <w:r w:rsidRPr="002D503D">
              <w:rPr>
                <w:rFonts w:cs="Times New Roman"/>
                <w:b/>
                <w:szCs w:val="28"/>
              </w:rPr>
              <w:t>Hướng xử lý</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1</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Nghị quyết số 09-NQ/TW ngày 19/5/2026 của Bộ Chính trị</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Định hướng hoàn thiện thể chế, tăng tính chủ động và chất lượng quản trị của Thành phố.</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Dự thảo góp phần cụ thể hóa cơ chế quản lý đặc thù trong khuôn khổ Luật Phát triển đô thị.</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Thể hiện trong cơ sở chính trị; không sử dụng thay căn cứ pháp lý trực tiếp.</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2</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Nghị quyết số 80-NQ/TW ngày 07/01/2026 của Bộ Chính trị</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Phát triển văn hóa, bảo tồn và phát huy di sản, huy động nguồn lực, chuyển đổi số.</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Phù hợp mục tiêu bảo vệ yếu tố gốc, nâng cao hiệu quả quản lý và số hóa hồ sơ.</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Tiếp tục thể hiện trong mục tiêu và tổ chức thực hiện.</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3</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Luật Ban hành VBQPPL số 64/2025/QH15; Luật số 87/2025/QH15</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Quy định thẩm quyền, quy trình xây dựng, thẩm định, ban hành VBQPPL.</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Hồ sơ phải có đầy đủ Tờ trình, so sánh/thuyết minh, đánh giá TTHC, thực trạng, tác động và tiếp thu.</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Hoàn thiện đồng bộ bộ hồ sơ.</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4</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 xml:space="preserve">Luật Phát triển đô thị số 18/2026/QH16 - Điều 7; điểm c khoản 2 </w:t>
            </w:r>
            <w:r w:rsidR="002D503D" w:rsidRPr="002D503D">
              <w:rPr>
                <w:rFonts w:cs="Times New Roman"/>
                <w:szCs w:val="28"/>
              </w:rPr>
              <w:t>Điều 26</w:t>
            </w:r>
            <w:r w:rsidRPr="002D503D">
              <w:rPr>
                <w:rFonts w:cs="Times New Roman"/>
                <w:szCs w:val="28"/>
              </w:rPr>
              <w:t>; Điều 65</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 xml:space="preserve">Cho phép điều chỉnh TTHC trong giới hạn; giao cơ chế quyết định </w:t>
            </w:r>
            <w:r w:rsidR="00A740D3">
              <w:rPr>
                <w:rFonts w:cs="Times New Roman"/>
                <w:szCs w:val="28"/>
              </w:rPr>
              <w:t>di tích quốc gia, di tích quốc gia đặc biệt</w:t>
            </w:r>
            <w:r w:rsidRPr="002D503D">
              <w:rPr>
                <w:rFonts w:cs="Times New Roman"/>
                <w:szCs w:val="28"/>
              </w:rPr>
              <w:t xml:space="preserve"> và trình tự, thủ tục do HĐND Thành phố quy định.</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 xml:space="preserve">Là căn cứ trực tiếp cho phần đặc thù </w:t>
            </w:r>
            <w:r w:rsidR="00A740D3">
              <w:rPr>
                <w:rFonts w:cs="Times New Roman"/>
                <w:szCs w:val="28"/>
              </w:rPr>
              <w:t>di tích quốc gia, di tích quốc gia đặc biệt</w:t>
            </w:r>
            <w:r w:rsidRPr="002D503D">
              <w:rPr>
                <w:rFonts w:cs="Times New Roman"/>
                <w:szCs w:val="28"/>
              </w:rPr>
              <w:t>.</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Dẫn chính xác điều, khoản trong Tờ trình và dự thảo.</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5</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Luật Di sản văn hóa số 45/2024/QH15</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Nguyên tắc bảo vệ, bảo quản, tu bổ, phục hồi; trách nhiệm chuyên ngành.</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Là nền tảng chuyên môn; dự thảo không được làm giảm yêu cầu bảo vệ yếu tố gốc.</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Kế thừa và dẫn chiếu chính xác.</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6</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 xml:space="preserve">Nghị định số 208/2025/NĐ-CP </w:t>
            </w:r>
            <w:r w:rsidRPr="002D503D">
              <w:rPr>
                <w:rFonts w:cs="Times New Roman"/>
                <w:szCs w:val="28"/>
              </w:rPr>
              <w:lastRenderedPageBreak/>
              <w:t>ngày 17/7/2025</w:t>
            </w:r>
          </w:p>
        </w:tc>
        <w:tc>
          <w:tcPr>
            <w:tcW w:w="2608" w:type="dxa"/>
            <w:tcMar>
              <w:top w:w="45" w:type="dxa"/>
              <w:left w:w="45" w:type="dxa"/>
              <w:bottom w:w="45" w:type="dxa"/>
              <w:right w:w="45" w:type="dxa"/>
            </w:tcMar>
          </w:tcPr>
          <w:p w:rsidR="00970DE3" w:rsidRPr="002D503D" w:rsidRDefault="008213B4" w:rsidP="00754CC2">
            <w:pPr>
              <w:spacing w:before="120" w:after="120" w:line="240" w:lineRule="auto"/>
              <w:jc w:val="both"/>
              <w:rPr>
                <w:rFonts w:cs="Times New Roman"/>
                <w:szCs w:val="28"/>
              </w:rPr>
            </w:pPr>
            <w:r w:rsidRPr="002D503D">
              <w:rPr>
                <w:rFonts w:cs="Times New Roman"/>
                <w:szCs w:val="28"/>
              </w:rPr>
              <w:lastRenderedPageBreak/>
              <w:t xml:space="preserve">Điều 13-41 quy định quy hoạch, xuống </w:t>
            </w:r>
            <w:r w:rsidRPr="002D503D">
              <w:rPr>
                <w:rFonts w:cs="Times New Roman"/>
                <w:szCs w:val="28"/>
              </w:rPr>
              <w:lastRenderedPageBreak/>
              <w:t xml:space="preserve">cấp, </w:t>
            </w:r>
            <w:r w:rsidR="00754CC2">
              <w:rPr>
                <w:rFonts w:cs="Times New Roman"/>
                <w:szCs w:val="28"/>
              </w:rPr>
              <w:t>Báo cáo nghiên cứu khả thi, Bảo cáo kinh tế - kỹ thuật</w:t>
            </w:r>
            <w:r w:rsidRPr="002D503D">
              <w:rPr>
                <w:rFonts w:cs="Times New Roman"/>
                <w:szCs w:val="28"/>
              </w:rPr>
              <w:t xml:space="preserve">, tu sửa cấp thiết, </w:t>
            </w:r>
            <w:r w:rsidR="00754CC2">
              <w:rPr>
                <w:rFonts w:cs="Times New Roman"/>
                <w:szCs w:val="28"/>
              </w:rPr>
              <w:t>Thiết kế bản vẽ thi công</w:t>
            </w:r>
            <w:r w:rsidRPr="002D503D">
              <w:rPr>
                <w:rFonts w:cs="Times New Roman"/>
                <w:szCs w:val="28"/>
              </w:rPr>
              <w:t xml:space="preserve"> và điều chỉnh.</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lastRenderedPageBreak/>
              <w:t>Là văn bản đối chiếu trực tiếp từng thủ tục.</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 xml:space="preserve">Phần </w:t>
            </w:r>
            <w:r w:rsidR="00700928">
              <w:rPr>
                <w:rFonts w:cs="Times New Roman"/>
                <w:szCs w:val="28"/>
              </w:rPr>
              <w:t xml:space="preserve">di tích cấp tỉnh, di tích </w:t>
            </w:r>
            <w:r w:rsidR="00700928">
              <w:rPr>
                <w:rFonts w:cs="Times New Roman"/>
                <w:szCs w:val="28"/>
              </w:rPr>
              <w:lastRenderedPageBreak/>
              <w:t xml:space="preserve">thuộc Danh mục kiểm kê di tích </w:t>
            </w:r>
            <w:r w:rsidRPr="002D503D">
              <w:rPr>
                <w:rFonts w:cs="Times New Roman"/>
                <w:szCs w:val="28"/>
              </w:rPr>
              <w:t xml:space="preserve">bám đúng; phần </w:t>
            </w:r>
            <w:r w:rsidR="00A740D3">
              <w:rPr>
                <w:rFonts w:cs="Times New Roman"/>
                <w:szCs w:val="28"/>
              </w:rPr>
              <w:t>di tích quốc gia, di tích quốc gia đặc biệt</w:t>
            </w:r>
            <w:r w:rsidRPr="002D503D">
              <w:rPr>
                <w:rFonts w:cs="Times New Roman"/>
                <w:szCs w:val="28"/>
              </w:rPr>
              <w:t xml:space="preserve"> chỉ điều chỉnh trong phạm vi Luật Phát triển đô thị.</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lastRenderedPageBreak/>
              <w:t>7</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Nghị định số 308/2025/NĐ-CP ngày 28/11/2025</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Quy định chi tiết một số điều và biện pháp tổ chức, hướng dẫn thi hành Luật Di sản văn hóa.</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Có liên quan đến quản lý, điều kiện chuyên môn và tổ chức thi hành.</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Dẫn khi nội dung cụ thể phát sinh; tránh lặp lại quy định.</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8</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Luật Xây dựng số 135/2025/QH15 ngày 10/12/2025</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Điều chỉnh thẩm định, thiết kế, quản lý dự án, chất lượng công trình xây dựng.</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Dự thảo phải tách thẩm định di sản khỏi thẩm định/kiểm soát/phê duyệt xây dựng.</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Dẫn chiếu pháp luật xây dựng tại Điều 31, 32 và các điều có liên quan.</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9</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Nghị định số 217/2026/NĐ-CP ngày 19/6/2026</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Quy định chi tiết một số điều của Luật Xây dựng về quản lý hoạt động xây dựng.</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Là căn cứ trực tiếp cho tổ chức thẩm định, kiểm soát, phê duyệt thiết kế theo pháp luật xây dựng.</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Không quy định lại hoặc khóa cứng chủ thể ngoài thẩm quyền.</w:t>
            </w:r>
          </w:p>
        </w:tc>
      </w:tr>
      <w:tr w:rsidR="00970DE3" w:rsidRPr="002D503D" w:rsidTr="002D503D">
        <w:trPr>
          <w:jc w:val="center"/>
        </w:trPr>
        <w:tc>
          <w:tcPr>
            <w:tcW w:w="1228" w:type="dxa"/>
            <w:tcMar>
              <w:top w:w="45" w:type="dxa"/>
              <w:left w:w="45" w:type="dxa"/>
              <w:bottom w:w="45" w:type="dxa"/>
              <w:right w:w="45" w:type="dxa"/>
            </w:tcMar>
          </w:tcPr>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10</w:t>
            </w:r>
          </w:p>
        </w:tc>
        <w:tc>
          <w:tcPr>
            <w:tcW w:w="226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Pháp luật về đầu tư, đầu tư công, ngân sách nhà nước</w:t>
            </w:r>
          </w:p>
        </w:tc>
        <w:tc>
          <w:tcPr>
            <w:tcW w:w="2608"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Quy định chủ trương đầu tư, quyết định đầu tư, nguồn vốn, quản lý và quyết toán.</w:t>
            </w:r>
          </w:p>
        </w:tc>
        <w:tc>
          <w:tcPr>
            <w:tcW w:w="2551"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Thẩm quyền chuyên ngành di sản không thay thế trách nhiệm của người quyết định đầu tư.</w:t>
            </w:r>
          </w:p>
        </w:tc>
        <w:tc>
          <w:tcPr>
            <w:tcW w:w="1984" w:type="dxa"/>
            <w:tcMar>
              <w:top w:w="45" w:type="dxa"/>
              <w:left w:w="45" w:type="dxa"/>
              <w:bottom w:w="45" w:type="dxa"/>
              <w:right w:w="45" w:type="dxa"/>
            </w:tcMar>
          </w:tcPr>
          <w:p w:rsidR="00970DE3" w:rsidRPr="002D503D" w:rsidRDefault="008213B4" w:rsidP="00553506">
            <w:pPr>
              <w:spacing w:before="120" w:after="120" w:line="240" w:lineRule="auto"/>
              <w:jc w:val="both"/>
              <w:rPr>
                <w:rFonts w:cs="Times New Roman"/>
                <w:szCs w:val="28"/>
              </w:rPr>
            </w:pPr>
            <w:r w:rsidRPr="002D503D">
              <w:rPr>
                <w:rFonts w:cs="Times New Roman"/>
                <w:szCs w:val="28"/>
              </w:rPr>
              <w:t>Giữ dẫn chiếu và phân định rõ trách nhiệm.</w:t>
            </w:r>
          </w:p>
        </w:tc>
      </w:tr>
    </w:tbl>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V. ĐÁNH GIÁ PHƯƠNG ÁN DỰ THẢO</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lastRenderedPageBreak/>
        <w:t xml:space="preserve">1. Nội dung pháp luật trung ương đã quy định đầy đủ: hồ sơ chuyên ngành, nội dung kỹ thuật, nguyên tắc bảo tồn, trình tự đối với di tích </w:t>
      </w:r>
      <w:r w:rsidR="00700928">
        <w:rPr>
          <w:rFonts w:cs="Times New Roman"/>
          <w:szCs w:val="28"/>
        </w:rPr>
        <w:t xml:space="preserve">di tích cấp tỉnh, di tích thuộc Danh mục kiểm kê di tích </w:t>
      </w:r>
      <w:r w:rsidRPr="002D503D">
        <w:rPr>
          <w:rFonts w:cs="Times New Roman"/>
          <w:szCs w:val="28"/>
        </w:rPr>
        <w:t>và các yêu cầu xây dựng đã được Luật Di sản văn hóa, Nghị định số 208/2025/NĐ-CP, Luật Xây dựng, Nghị định số 217/2026/NĐ-CP quy định. Các nội dung này không cần đặt lại điều kiện hoặc thủ tục mới.</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2. Nội dung thuộc thẩm quyền Thành phố cần quy định: chuỗi thực hiện điểm c khoản 2 </w:t>
      </w:r>
      <w:r w:rsidR="002D503D" w:rsidRPr="002D503D">
        <w:rPr>
          <w:rFonts w:cs="Times New Roman"/>
          <w:szCs w:val="28"/>
        </w:rPr>
        <w:t>Điều 26</w:t>
      </w:r>
      <w:r w:rsidRPr="002D503D">
        <w:rPr>
          <w:rFonts w:cs="Times New Roman"/>
          <w:szCs w:val="28"/>
        </w:rPr>
        <w:t xml:space="preserve"> Luật Phát triển đô thị số 18/2026/QH16 đối với </w:t>
      </w:r>
      <w:r w:rsidR="00A740D3">
        <w:rPr>
          <w:rFonts w:cs="Times New Roman"/>
          <w:szCs w:val="28"/>
        </w:rPr>
        <w:t>di tích quốc gia, di tích quốc gia đặc biệt</w:t>
      </w:r>
      <w:r w:rsidRPr="002D503D">
        <w:rPr>
          <w:rFonts w:cs="Times New Roman"/>
          <w:szCs w:val="28"/>
        </w:rPr>
        <w:t>, bao gồm đầu mối, tham vấn, tổng hợp kết quả, cơ chế quyết định và các nội dung điều chỉnh thủ tục hành chính trong giới hạn Điều 7.</w:t>
      </w:r>
    </w:p>
    <w:p w:rsidR="00970DE3" w:rsidRPr="002D503D" w:rsidRDefault="008213B4" w:rsidP="002D503D">
      <w:pPr>
        <w:spacing w:before="120" w:after="120" w:line="240" w:lineRule="auto"/>
        <w:ind w:firstLine="567"/>
        <w:jc w:val="both"/>
        <w:rPr>
          <w:rFonts w:cs="Times New Roman"/>
          <w:szCs w:val="28"/>
        </w:rPr>
      </w:pPr>
      <w:r w:rsidRPr="002D503D">
        <w:rPr>
          <w:rFonts w:cs="Times New Roman"/>
          <w:szCs w:val="28"/>
        </w:rPr>
        <w:t xml:space="preserve">3. Nội dung cần thận trọng: phân định giữa ý kiến tham vấn và kết quả thẩm định; quan hệ Điều 11 với thủ tục xác nhận xuống cấp; việc chuyển đầu mối thẩm định </w:t>
      </w:r>
      <w:r w:rsidR="00A740D3">
        <w:rPr>
          <w:rFonts w:cs="Times New Roman"/>
          <w:szCs w:val="28"/>
        </w:rPr>
        <w:t>di tích quốc gia, di tích quốc gia đặc biệt</w:t>
      </w:r>
      <w:r w:rsidRPr="002D503D">
        <w:rPr>
          <w:rFonts w:cs="Times New Roman"/>
          <w:szCs w:val="28"/>
        </w:rPr>
        <w:t xml:space="preserve"> về Sở; thẩm quyền phê duyệt dự án, thiết kế; và việc sử dụng biểu mẫu địa phương. Các nội dung này cần tiếp tục được Sở Tư pháp và cơ quan chuyên ngành xem xét trong quá trình thẩm định.</w:t>
      </w:r>
    </w:p>
    <w:p w:rsidR="00970DE3" w:rsidRPr="002D503D" w:rsidRDefault="008213B4" w:rsidP="002D503D">
      <w:pPr>
        <w:spacing w:before="120" w:after="120" w:line="240" w:lineRule="auto"/>
        <w:ind w:firstLine="567"/>
        <w:jc w:val="both"/>
        <w:rPr>
          <w:rFonts w:cs="Times New Roman"/>
          <w:szCs w:val="28"/>
        </w:rPr>
      </w:pPr>
      <w:r w:rsidRPr="002D503D">
        <w:rPr>
          <w:rFonts w:cs="Times New Roman"/>
          <w:b/>
          <w:szCs w:val="28"/>
        </w:rPr>
        <w:t>VI. KẾT LUẬN</w:t>
      </w:r>
    </w:p>
    <w:p w:rsidR="00970DE3" w:rsidRPr="002D503D" w:rsidRDefault="008213B4" w:rsidP="002D503D">
      <w:pPr>
        <w:spacing w:before="120" w:after="480" w:line="240" w:lineRule="auto"/>
        <w:ind w:firstLine="567"/>
        <w:jc w:val="both"/>
        <w:rPr>
          <w:rFonts w:cs="Times New Roman"/>
          <w:szCs w:val="28"/>
        </w:rPr>
      </w:pPr>
      <w:r w:rsidRPr="002D503D">
        <w:rPr>
          <w:rFonts w:cs="Times New Roman"/>
          <w:szCs w:val="28"/>
        </w:rPr>
        <w:t xml:space="preserve">Việc ban hành Nghị quyết là cần thiết để có trình tự, thủ tục tổ chức thực hiện thẩm quyền được Luật Phát triển đô thị số 18/2026/QH16 giao đối với di tích quốc gia, di tích quốc gia đặc biệt. Phương án dự thảo có thể đồng thời tổ chức thống nhất việc thực hiện đối với di tích cấp tỉnh và di tích thuộc Danh mục kiểm kê, nhưng phải duy trì ranh giới rõ: cơ chế đặc thù chỉ áp dụng cho </w:t>
      </w:r>
      <w:r w:rsidR="00A740D3">
        <w:rPr>
          <w:rFonts w:cs="Times New Roman"/>
          <w:szCs w:val="28"/>
        </w:rPr>
        <w:t>di tích quốc gia, di tích quốc gia đặc biệt</w:t>
      </w:r>
      <w:r w:rsidRPr="002D503D">
        <w:rPr>
          <w:rFonts w:cs="Times New Roman"/>
          <w:szCs w:val="28"/>
        </w:rPr>
        <w:t xml:space="preserve">; phần </w:t>
      </w:r>
      <w:r w:rsidR="00700928">
        <w:rPr>
          <w:rFonts w:cs="Times New Roman"/>
          <w:szCs w:val="28"/>
        </w:rPr>
        <w:t xml:space="preserve">di tích cấp tỉnh, di tích thuộc Danh mục kiểm kê di tích </w:t>
      </w:r>
      <w:r w:rsidRPr="002D503D">
        <w:rPr>
          <w:rFonts w:cs="Times New Roman"/>
          <w:szCs w:val="28"/>
        </w:rPr>
        <w:t>bám pháp luật chuyên ngành. Việc chỉnh lý tiếp theo cần tập trung vào tính hợp pháp của từng điểm điều chỉnh, không làm phát sinh hồ sơ, điều kiện, thủ tục hoặc thời hạn vượt giới hạn của khoản 2 Điều 7 Luật Phát triển đô thị.</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970DE3" w:rsidRPr="002D503D">
        <w:trPr>
          <w:jc w:val="center"/>
        </w:trPr>
        <w:tc>
          <w:tcPr>
            <w:tcW w:w="4702" w:type="dxa"/>
          </w:tcPr>
          <w:p w:rsidR="001F5F5A" w:rsidRDefault="008213B4" w:rsidP="001F5F5A">
            <w:pPr>
              <w:spacing w:after="0" w:line="240" w:lineRule="auto"/>
              <w:contextualSpacing/>
              <w:rPr>
                <w:rFonts w:cs="Times New Roman"/>
                <w:sz w:val="24"/>
                <w:szCs w:val="24"/>
              </w:rPr>
            </w:pPr>
            <w:r w:rsidRPr="002D503D">
              <w:rPr>
                <w:rFonts w:cs="Times New Roman"/>
                <w:b/>
                <w:i/>
                <w:sz w:val="24"/>
                <w:szCs w:val="24"/>
              </w:rPr>
              <w:t>Nơi nhận:</w:t>
            </w:r>
            <w:r w:rsidRPr="002D503D">
              <w:rPr>
                <w:rFonts w:cs="Times New Roman"/>
                <w:b/>
                <w:sz w:val="24"/>
                <w:szCs w:val="24"/>
              </w:rPr>
              <w:br/>
            </w:r>
            <w:r w:rsidRPr="002D503D">
              <w:rPr>
                <w:rFonts w:cs="Times New Roman"/>
                <w:sz w:val="24"/>
                <w:szCs w:val="24"/>
              </w:rPr>
              <w:t xml:space="preserve">- </w:t>
            </w:r>
            <w:bookmarkStart w:id="0" w:name="_GoBack"/>
            <w:r w:rsidR="00EA28BA">
              <w:rPr>
                <w:rFonts w:cs="Times New Roman"/>
                <w:sz w:val="24"/>
                <w:szCs w:val="24"/>
              </w:rPr>
              <w:t>Như trên</w:t>
            </w:r>
            <w:r w:rsidRPr="002D503D">
              <w:rPr>
                <w:rFonts w:cs="Times New Roman"/>
                <w:sz w:val="24"/>
                <w:szCs w:val="24"/>
              </w:rPr>
              <w:t>;</w:t>
            </w:r>
            <w:r w:rsidRPr="002D503D">
              <w:rPr>
                <w:rFonts w:cs="Times New Roman"/>
                <w:sz w:val="24"/>
                <w:szCs w:val="24"/>
              </w:rPr>
              <w:br/>
              <w:t>- Sở Tư pháp;</w:t>
            </w:r>
            <w:r w:rsidRPr="002D503D">
              <w:rPr>
                <w:rFonts w:cs="Times New Roman"/>
                <w:sz w:val="24"/>
                <w:szCs w:val="24"/>
              </w:rPr>
              <w:br/>
            </w:r>
            <w:r w:rsidR="002D503D">
              <w:rPr>
                <w:rFonts w:cs="Times New Roman"/>
                <w:sz w:val="24"/>
                <w:szCs w:val="24"/>
              </w:rPr>
              <w:t xml:space="preserve">- </w:t>
            </w:r>
            <w:r w:rsidR="001F5F5A">
              <w:rPr>
                <w:rFonts w:cs="Times New Roman"/>
                <w:sz w:val="24"/>
                <w:szCs w:val="24"/>
              </w:rPr>
              <w:t>Ban Giám đốc</w:t>
            </w:r>
            <w:r w:rsidR="002D503D">
              <w:rPr>
                <w:rFonts w:cs="Times New Roman"/>
                <w:sz w:val="24"/>
                <w:szCs w:val="24"/>
              </w:rPr>
              <w:t xml:space="preserve"> Sở</w:t>
            </w:r>
            <w:r w:rsidR="001F5F5A">
              <w:rPr>
                <w:rFonts w:cs="Times New Roman"/>
                <w:sz w:val="24"/>
                <w:szCs w:val="24"/>
              </w:rPr>
              <w:t xml:space="preserve"> </w:t>
            </w:r>
            <w:r w:rsidR="001F5F5A">
              <w:rPr>
                <w:rFonts w:cs="Times New Roman"/>
                <w:i/>
                <w:sz w:val="24"/>
                <w:szCs w:val="24"/>
              </w:rPr>
              <w:t>(để báo cáo)</w:t>
            </w:r>
            <w:r w:rsidR="002D503D">
              <w:rPr>
                <w:rFonts w:cs="Times New Roman"/>
                <w:sz w:val="24"/>
                <w:szCs w:val="24"/>
              </w:rPr>
              <w:t>;</w:t>
            </w:r>
          </w:p>
          <w:p w:rsidR="001F5F5A" w:rsidRDefault="001F5F5A" w:rsidP="001F5F5A">
            <w:pPr>
              <w:spacing w:after="0" w:line="240" w:lineRule="auto"/>
              <w:contextualSpacing/>
              <w:rPr>
                <w:rFonts w:cs="Times New Roman"/>
                <w:sz w:val="24"/>
                <w:szCs w:val="24"/>
              </w:rPr>
            </w:pPr>
            <w:r>
              <w:rPr>
                <w:rFonts w:cs="Times New Roman"/>
                <w:sz w:val="24"/>
                <w:szCs w:val="24"/>
              </w:rPr>
              <w:t>- P.KH-TC;</w:t>
            </w:r>
          </w:p>
          <w:p w:rsidR="00970DE3" w:rsidRPr="002D503D" w:rsidRDefault="001F5F5A" w:rsidP="001F5F5A">
            <w:pPr>
              <w:spacing w:after="0" w:line="240" w:lineRule="auto"/>
              <w:contextualSpacing/>
              <w:rPr>
                <w:rFonts w:cs="Times New Roman"/>
                <w:sz w:val="24"/>
                <w:szCs w:val="24"/>
              </w:rPr>
            </w:pPr>
            <w:r>
              <w:rPr>
                <w:rFonts w:cs="Times New Roman"/>
                <w:sz w:val="24"/>
                <w:szCs w:val="24"/>
              </w:rPr>
              <w:t>- P.KT-PC;</w:t>
            </w:r>
            <w:r w:rsidR="002D503D">
              <w:rPr>
                <w:rFonts w:cs="Times New Roman"/>
                <w:sz w:val="24"/>
                <w:szCs w:val="24"/>
              </w:rPr>
              <w:br/>
              <w:t>- Lưu: VT, DSVH</w:t>
            </w:r>
            <w:bookmarkEnd w:id="0"/>
            <w:r w:rsidR="002D503D">
              <w:rPr>
                <w:rFonts w:cs="Times New Roman"/>
                <w:sz w:val="24"/>
                <w:szCs w:val="24"/>
              </w:rPr>
              <w:t>.</w:t>
            </w:r>
          </w:p>
        </w:tc>
        <w:tc>
          <w:tcPr>
            <w:tcW w:w="4702" w:type="dxa"/>
          </w:tcPr>
          <w:p w:rsidR="00970DE3" w:rsidRPr="002D503D" w:rsidRDefault="002D503D" w:rsidP="002D503D">
            <w:pPr>
              <w:jc w:val="center"/>
              <w:rPr>
                <w:rFonts w:cs="Times New Roman"/>
                <w:szCs w:val="28"/>
              </w:rPr>
            </w:pPr>
            <w:r w:rsidRPr="002D503D">
              <w:rPr>
                <w:rFonts w:cs="Times New Roman"/>
                <w:b/>
                <w:szCs w:val="28"/>
              </w:rPr>
              <w:t>KT. GIÁM ĐỐC</w:t>
            </w:r>
            <w:r w:rsidRPr="002D503D">
              <w:rPr>
                <w:rFonts w:cs="Times New Roman"/>
                <w:b/>
                <w:szCs w:val="28"/>
              </w:rPr>
              <w:br/>
              <w:t>PHÓ GIÁM ĐỐC</w:t>
            </w:r>
            <w:r w:rsidR="008213B4" w:rsidRPr="002D503D">
              <w:rPr>
                <w:rFonts w:cs="Times New Roman"/>
                <w:b/>
                <w:szCs w:val="28"/>
              </w:rPr>
              <w:br/>
            </w:r>
          </w:p>
        </w:tc>
      </w:tr>
    </w:tbl>
    <w:p w:rsidR="008213B4" w:rsidRPr="002D503D" w:rsidRDefault="008213B4">
      <w:pPr>
        <w:rPr>
          <w:rFonts w:cs="Times New Roman"/>
        </w:rPr>
      </w:pPr>
    </w:p>
    <w:sectPr w:rsidR="008213B4" w:rsidRPr="002D503D" w:rsidSect="002D503D">
      <w:headerReference w:type="default" r:id="rId8"/>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D12" w:rsidRDefault="00992D12" w:rsidP="002D503D">
      <w:pPr>
        <w:spacing w:after="0" w:line="240" w:lineRule="auto"/>
      </w:pPr>
      <w:r>
        <w:separator/>
      </w:r>
    </w:p>
  </w:endnote>
  <w:endnote w:type="continuationSeparator" w:id="0">
    <w:p w:rsidR="00992D12" w:rsidRDefault="00992D12" w:rsidP="002D5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D12" w:rsidRDefault="00992D12" w:rsidP="002D503D">
      <w:pPr>
        <w:spacing w:after="0" w:line="240" w:lineRule="auto"/>
      </w:pPr>
      <w:r>
        <w:separator/>
      </w:r>
    </w:p>
  </w:footnote>
  <w:footnote w:type="continuationSeparator" w:id="0">
    <w:p w:rsidR="00992D12" w:rsidRDefault="00992D12" w:rsidP="002D5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99138"/>
      <w:docPartObj>
        <w:docPartGallery w:val="Page Numbers (Top of Page)"/>
        <w:docPartUnique/>
      </w:docPartObj>
    </w:sdtPr>
    <w:sdtEndPr>
      <w:rPr>
        <w:noProof/>
        <w:sz w:val="24"/>
        <w:szCs w:val="24"/>
      </w:rPr>
    </w:sdtEndPr>
    <w:sdtContent>
      <w:p w:rsidR="002D503D" w:rsidRPr="002D503D" w:rsidRDefault="002D503D">
        <w:pPr>
          <w:pStyle w:val="Header"/>
          <w:jc w:val="center"/>
          <w:rPr>
            <w:sz w:val="24"/>
            <w:szCs w:val="24"/>
          </w:rPr>
        </w:pPr>
        <w:r w:rsidRPr="002D503D">
          <w:rPr>
            <w:sz w:val="24"/>
            <w:szCs w:val="24"/>
          </w:rPr>
          <w:fldChar w:fldCharType="begin"/>
        </w:r>
        <w:r w:rsidRPr="002D503D">
          <w:rPr>
            <w:sz w:val="24"/>
            <w:szCs w:val="24"/>
          </w:rPr>
          <w:instrText xml:space="preserve"> PAGE   \* MERGEFORMAT </w:instrText>
        </w:r>
        <w:r w:rsidRPr="002D503D">
          <w:rPr>
            <w:sz w:val="24"/>
            <w:szCs w:val="24"/>
          </w:rPr>
          <w:fldChar w:fldCharType="separate"/>
        </w:r>
        <w:r w:rsidR="001F5F5A">
          <w:rPr>
            <w:noProof/>
            <w:sz w:val="24"/>
            <w:szCs w:val="24"/>
          </w:rPr>
          <w:t>6</w:t>
        </w:r>
        <w:r w:rsidRPr="002D503D">
          <w:rPr>
            <w:noProof/>
            <w:sz w:val="24"/>
            <w:szCs w:val="24"/>
          </w:rPr>
          <w:fldChar w:fldCharType="end"/>
        </w:r>
      </w:p>
    </w:sdtContent>
  </w:sdt>
  <w:p w:rsidR="002D503D" w:rsidRDefault="002D50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F5F5A"/>
    <w:rsid w:val="0029639D"/>
    <w:rsid w:val="002D503D"/>
    <w:rsid w:val="00326F90"/>
    <w:rsid w:val="00553506"/>
    <w:rsid w:val="005721D1"/>
    <w:rsid w:val="00700928"/>
    <w:rsid w:val="00754CC2"/>
    <w:rsid w:val="008213B4"/>
    <w:rsid w:val="00970DE3"/>
    <w:rsid w:val="00992D12"/>
    <w:rsid w:val="00A740D3"/>
    <w:rsid w:val="00AA1D8D"/>
    <w:rsid w:val="00B47730"/>
    <w:rsid w:val="00CB0664"/>
    <w:rsid w:val="00EA28BA"/>
    <w:rsid w:val="00F55B6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D25E6A"/>
  <w14:defaultImageDpi w14:val="300"/>
  <w15:docId w15:val="{11B65891-A728-409D-B040-5DB7159A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8FEA2-4EF7-4453-BA59-86F53C58A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10</cp:revision>
  <dcterms:created xsi:type="dcterms:W3CDTF">2013-12-23T23:15:00Z</dcterms:created>
  <dcterms:modified xsi:type="dcterms:W3CDTF">2026-08-28T03:28:00Z</dcterms:modified>
  <cp:category/>
</cp:coreProperties>
</file>