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7087"/>
        <w:gridCol w:w="7087"/>
      </w:tblGrid>
      <w:tr w:rsidR="002B35EB">
        <w:trPr>
          <w:jc w:val="center"/>
        </w:trPr>
        <w:tc>
          <w:tcPr>
            <w:tcW w:w="7087" w:type="dxa"/>
            <w:tcBorders>
              <w:top w:val="nil"/>
              <w:left w:val="nil"/>
              <w:bottom w:val="nil"/>
              <w:right w:val="nil"/>
            </w:tcBorders>
            <w:vAlign w:val="center"/>
          </w:tcPr>
          <w:p w:rsidR="002B35EB" w:rsidRDefault="00BA0D19">
            <w:pPr>
              <w:jc w:val="center"/>
            </w:pPr>
            <w:r>
              <w:rPr>
                <w:b/>
              </w:rPr>
              <w:t>ỦY BAN NHÂN DÂN</w:t>
            </w:r>
            <w:r>
              <w:rPr>
                <w:b/>
              </w:rPr>
              <w:br/>
              <w:t>THÀNH PHỐ HỒ CHÍ MINH</w:t>
            </w:r>
            <w:r>
              <w:rPr>
                <w:b/>
              </w:rPr>
              <w:br/>
              <w:t>SỞ VĂN HÓA VÀ THỂ THAO</w:t>
            </w:r>
            <w:r>
              <w:rPr>
                <w:b/>
              </w:rPr>
              <w:br/>
              <w:t>-------</w:t>
            </w:r>
          </w:p>
        </w:tc>
        <w:tc>
          <w:tcPr>
            <w:tcW w:w="7087" w:type="dxa"/>
            <w:tcBorders>
              <w:top w:val="nil"/>
              <w:left w:val="nil"/>
              <w:bottom w:val="nil"/>
              <w:right w:val="nil"/>
            </w:tcBorders>
            <w:vAlign w:val="center"/>
          </w:tcPr>
          <w:p w:rsidR="002B35EB" w:rsidRDefault="00BA0D19">
            <w:pPr>
              <w:jc w:val="center"/>
            </w:pPr>
            <w:r>
              <w:rPr>
                <w:b/>
              </w:rPr>
              <w:t>CỘNG HÒA XÃ HỘI CHỦ NGHĨA VIỆT NAM</w:t>
            </w:r>
            <w:r>
              <w:rPr>
                <w:b/>
              </w:rPr>
              <w:br/>
              <w:t>Độc lập - Tự do - Hạnh phúc</w:t>
            </w:r>
            <w:r>
              <w:rPr>
                <w:b/>
              </w:rPr>
              <w:br/>
              <w:t>---------------</w:t>
            </w:r>
          </w:p>
        </w:tc>
      </w:tr>
    </w:tbl>
    <w:p w:rsidR="002B35EB" w:rsidRDefault="00BA0D19">
      <w:pPr>
        <w:spacing w:after="0"/>
        <w:jc w:val="right"/>
      </w:pPr>
      <w:r>
        <w:rPr>
          <w:i/>
        </w:rPr>
        <w:t xml:space="preserve">Thành phố Hồ Chí Minh, ngày </w:t>
      </w:r>
      <w:r w:rsidR="006C24D4">
        <w:rPr>
          <w:i/>
        </w:rPr>
        <w:t>18</w:t>
      </w:r>
      <w:bookmarkStart w:id="0" w:name="_GoBack"/>
      <w:bookmarkEnd w:id="0"/>
      <w:r>
        <w:rPr>
          <w:i/>
        </w:rPr>
        <w:t xml:space="preserve"> tháng 8 năm 2026</w:t>
      </w:r>
    </w:p>
    <w:p w:rsidR="002B35EB" w:rsidRPr="00563D00" w:rsidRDefault="00BA0D19" w:rsidP="00563D00">
      <w:pPr>
        <w:spacing w:before="240" w:after="0"/>
        <w:jc w:val="center"/>
        <w:rPr>
          <w:sz w:val="28"/>
          <w:szCs w:val="28"/>
        </w:rPr>
      </w:pPr>
      <w:r w:rsidRPr="00563D00">
        <w:rPr>
          <w:b/>
          <w:sz w:val="28"/>
          <w:szCs w:val="28"/>
        </w:rPr>
        <w:t>BẢN</w:t>
      </w:r>
      <w:r w:rsidR="006C24D4">
        <w:rPr>
          <w:b/>
          <w:sz w:val="28"/>
          <w:szCs w:val="28"/>
        </w:rPr>
        <w:t>G</w:t>
      </w:r>
      <w:r w:rsidRPr="00563D00">
        <w:rPr>
          <w:b/>
          <w:sz w:val="28"/>
          <w:szCs w:val="28"/>
        </w:rPr>
        <w:t xml:space="preserve"> TỔNG HỢP Ý KIẾN, TIẾP THU, GIẢI TRÌNH Ý KIẾN GÓP Ý</w:t>
      </w:r>
      <w:r w:rsidR="00563D00">
        <w:rPr>
          <w:b/>
          <w:sz w:val="28"/>
          <w:szCs w:val="28"/>
        </w:rPr>
        <w:t xml:space="preserve"> </w:t>
      </w:r>
      <w:r w:rsidRPr="00563D00">
        <w:rPr>
          <w:b/>
          <w:sz w:val="28"/>
          <w:szCs w:val="28"/>
        </w:rPr>
        <w:t xml:space="preserve">ĐỐI VỚI </w:t>
      </w:r>
      <w:r w:rsidR="00563D00">
        <w:rPr>
          <w:b/>
          <w:sz w:val="28"/>
          <w:szCs w:val="28"/>
        </w:rPr>
        <w:br/>
      </w:r>
      <w:r w:rsidRPr="00563D00">
        <w:rPr>
          <w:b/>
          <w:sz w:val="28"/>
          <w:szCs w:val="28"/>
        </w:rPr>
        <w:t xml:space="preserve">DỰ THẢO NGHỊ QUYẾT QUY ĐỊNH MỨC CHI VÀ VIỆC SỬ DỤNG KINH PHÍ THỰC HIỆN </w:t>
      </w:r>
      <w:r w:rsidR="00563D00">
        <w:rPr>
          <w:b/>
          <w:sz w:val="28"/>
          <w:szCs w:val="28"/>
        </w:rPr>
        <w:br/>
      </w:r>
      <w:r w:rsidRPr="00563D00">
        <w:rPr>
          <w:b/>
          <w:sz w:val="28"/>
          <w:szCs w:val="28"/>
        </w:rPr>
        <w:t xml:space="preserve">CÔNG TÁC THĂM DÒ, KHAI QUẬT KHẢO CỔ TỪ NGUỒN NGÂN SÁCH NHÀ NƯỚC </w:t>
      </w:r>
      <w:r w:rsidR="00563D00">
        <w:rPr>
          <w:b/>
          <w:sz w:val="28"/>
          <w:szCs w:val="28"/>
        </w:rPr>
        <w:br/>
      </w:r>
      <w:r w:rsidRPr="00563D00">
        <w:rPr>
          <w:b/>
          <w:sz w:val="28"/>
          <w:szCs w:val="28"/>
        </w:rPr>
        <w:t>TRÊN ĐỊA BÀN THÀNH PHỐ HỒ CHÍ MINH</w:t>
      </w:r>
    </w:p>
    <w:p w:rsidR="002B35EB" w:rsidRPr="00563D00" w:rsidRDefault="00BA0D19" w:rsidP="0017174B">
      <w:pPr>
        <w:spacing w:before="240" w:after="0"/>
        <w:ind w:firstLine="567"/>
        <w:jc w:val="both"/>
        <w:rPr>
          <w:sz w:val="28"/>
          <w:szCs w:val="28"/>
        </w:rPr>
      </w:pPr>
      <w:r w:rsidRPr="00563D00">
        <w:rPr>
          <w:sz w:val="28"/>
          <w:szCs w:val="28"/>
        </w:rPr>
        <w:t>Căn cứ Luật Ban hành văn bản quy phạm pháp luật, Sở Văn hóa và Thể thao là cơ quan chủ trì soạn thảo đã tổ chức lấy ý kiến góp ý đối với hồ sơ dự thảo Nghị quyết của Hội đồng nhân dân Thành phố quy định mức chi và việc sử dụng kinh phí thực hiện công tác thăm dò, khai quật khảo cổ từ nguồn ngân sách nhà nước trên địa bàn Thành phố Hồ Chí Minh.</w:t>
      </w:r>
    </w:p>
    <w:p w:rsidR="002B35EB" w:rsidRPr="00563D00" w:rsidRDefault="00BA0D19" w:rsidP="0017174B">
      <w:pPr>
        <w:spacing w:after="0"/>
        <w:ind w:firstLine="567"/>
        <w:jc w:val="both"/>
        <w:rPr>
          <w:sz w:val="28"/>
          <w:szCs w:val="28"/>
        </w:rPr>
      </w:pPr>
      <w:r w:rsidRPr="00563D00">
        <w:rPr>
          <w:b/>
          <w:sz w:val="28"/>
          <w:szCs w:val="28"/>
        </w:rPr>
        <w:t>1. Tổng số cơ quan, tổ chức, cá nhân đã gửi xin ý k</w:t>
      </w:r>
      <w:r w:rsidR="00BE0356">
        <w:rPr>
          <w:b/>
          <w:sz w:val="28"/>
          <w:szCs w:val="28"/>
        </w:rPr>
        <w:t>iến và tổng số ý kiến nhận được</w:t>
      </w:r>
    </w:p>
    <w:p w:rsidR="002B35EB" w:rsidRPr="00563D00" w:rsidRDefault="00BE0356" w:rsidP="0017174B">
      <w:pPr>
        <w:spacing w:after="0"/>
        <w:ind w:firstLine="567"/>
        <w:jc w:val="both"/>
        <w:rPr>
          <w:color w:val="FF0000"/>
          <w:sz w:val="28"/>
          <w:szCs w:val="28"/>
        </w:rPr>
      </w:pPr>
      <w:r>
        <w:rPr>
          <w:sz w:val="28"/>
          <w:szCs w:val="28"/>
        </w:rPr>
        <w:t>Thời gian qua,</w:t>
      </w:r>
      <w:r w:rsidR="00BA0D19" w:rsidRPr="00563D00">
        <w:rPr>
          <w:sz w:val="28"/>
          <w:szCs w:val="28"/>
        </w:rPr>
        <w:t xml:space="preserve"> Sở Văn hóa và Thể thao </w:t>
      </w:r>
      <w:r>
        <w:rPr>
          <w:sz w:val="28"/>
          <w:szCs w:val="28"/>
        </w:rPr>
        <w:t>đã thực hiện việc</w:t>
      </w:r>
      <w:r w:rsidR="00BA0D19" w:rsidRPr="00563D00">
        <w:rPr>
          <w:sz w:val="28"/>
          <w:szCs w:val="28"/>
        </w:rPr>
        <w:t xml:space="preserve"> lấy ý kiến góp ý đối với hồ sơ dự thảo Nghị quyết</w:t>
      </w:r>
      <w:r>
        <w:rPr>
          <w:sz w:val="28"/>
          <w:szCs w:val="28"/>
        </w:rPr>
        <w:t>;</w:t>
      </w:r>
      <w:r w:rsidR="00BA0D19" w:rsidRPr="00563D00">
        <w:rPr>
          <w:sz w:val="28"/>
          <w:szCs w:val="28"/>
        </w:rPr>
        <w:t xml:space="preserve"> đến ngày 1</w:t>
      </w:r>
      <w:r w:rsidR="00583175" w:rsidRPr="00563D00">
        <w:rPr>
          <w:sz w:val="28"/>
          <w:szCs w:val="28"/>
        </w:rPr>
        <w:t>8</w:t>
      </w:r>
      <w:r w:rsidR="00BA0D19" w:rsidRPr="00563D00">
        <w:rPr>
          <w:sz w:val="28"/>
          <w:szCs w:val="28"/>
        </w:rPr>
        <w:t xml:space="preserve"> tháng 8 năm 2026, Sở Văn hóa và Thể thao đã nhận được 1</w:t>
      </w:r>
      <w:r w:rsidR="0017174B" w:rsidRPr="00563D00">
        <w:rPr>
          <w:sz w:val="28"/>
          <w:szCs w:val="28"/>
        </w:rPr>
        <w:t>2</w:t>
      </w:r>
      <w:r w:rsidR="00583175" w:rsidRPr="00563D00">
        <w:rPr>
          <w:sz w:val="28"/>
          <w:szCs w:val="28"/>
        </w:rPr>
        <w:t>1</w:t>
      </w:r>
      <w:r w:rsidR="00BA0D19" w:rsidRPr="00563D00">
        <w:rPr>
          <w:sz w:val="28"/>
          <w:szCs w:val="28"/>
        </w:rPr>
        <w:t xml:space="preserve"> ý kiến của các cơ quan, đơn vị. </w:t>
      </w:r>
      <w:r w:rsidR="0017174B" w:rsidRPr="00563D00">
        <w:rPr>
          <w:sz w:val="28"/>
          <w:szCs w:val="28"/>
        </w:rPr>
        <w:t>Trong đó 1</w:t>
      </w:r>
      <w:r w:rsidR="00583175" w:rsidRPr="00563D00">
        <w:rPr>
          <w:sz w:val="28"/>
          <w:szCs w:val="28"/>
        </w:rPr>
        <w:t>11</w:t>
      </w:r>
      <w:r w:rsidR="0017174B" w:rsidRPr="00563D00">
        <w:rPr>
          <w:sz w:val="28"/>
          <w:szCs w:val="28"/>
        </w:rPr>
        <w:t xml:space="preserve"> ý kiến của các</w:t>
      </w:r>
      <w:r w:rsidR="00BA0D19" w:rsidRPr="00563D00">
        <w:rPr>
          <w:sz w:val="28"/>
          <w:szCs w:val="28"/>
        </w:rPr>
        <w:t xml:space="preserve"> cơ quan, đơn vị thống nhất với hồ sơ dự thảo; 10 văn bản có nội dung cần tổng hợp, tiếp thu, giải trình cụ thể.</w:t>
      </w:r>
    </w:p>
    <w:p w:rsidR="002B35EB" w:rsidRPr="00563D00" w:rsidRDefault="00BA0D19" w:rsidP="0017174B">
      <w:pPr>
        <w:spacing w:after="0"/>
        <w:ind w:firstLine="567"/>
        <w:rPr>
          <w:sz w:val="28"/>
          <w:szCs w:val="28"/>
        </w:rPr>
      </w:pPr>
      <w:r w:rsidRPr="00563D00">
        <w:rPr>
          <w:b/>
          <w:sz w:val="28"/>
          <w:szCs w:val="28"/>
        </w:rPr>
        <w:t>2. Kết quả cụ thể như sau:</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674"/>
        <w:gridCol w:w="5085"/>
        <w:gridCol w:w="2957"/>
      </w:tblGrid>
      <w:tr w:rsidR="002B35EB" w:rsidRPr="0017174B" w:rsidTr="0017174B">
        <w:trPr>
          <w:tblHeader/>
        </w:trPr>
        <w:tc>
          <w:tcPr>
            <w:tcW w:w="2313" w:type="dxa"/>
            <w:shd w:val="clear" w:color="auto" w:fill="D9EAF7"/>
            <w:tcMar>
              <w:top w:w="80" w:type="dxa"/>
              <w:left w:w="80" w:type="dxa"/>
              <w:bottom w:w="80" w:type="dxa"/>
              <w:right w:w="80" w:type="dxa"/>
            </w:tcMar>
          </w:tcPr>
          <w:p w:rsidR="002B35EB" w:rsidRPr="0017174B" w:rsidRDefault="00BA0D19" w:rsidP="0017174B">
            <w:pPr>
              <w:spacing w:after="0" w:line="240" w:lineRule="auto"/>
              <w:jc w:val="center"/>
              <w:rPr>
                <w:rFonts w:cs="Times New Roman"/>
                <w:sz w:val="26"/>
                <w:szCs w:val="26"/>
              </w:rPr>
            </w:pPr>
            <w:r w:rsidRPr="0017174B">
              <w:rPr>
                <w:rFonts w:cs="Times New Roman"/>
                <w:b/>
                <w:sz w:val="26"/>
                <w:szCs w:val="26"/>
              </w:rPr>
              <w:t>CHÍNH SÁCH HOẶC NHÓM VẤN ĐỀ, ĐIỀU, KHOẢN</w:t>
            </w:r>
          </w:p>
        </w:tc>
        <w:tc>
          <w:tcPr>
            <w:tcW w:w="3674" w:type="dxa"/>
            <w:shd w:val="clear" w:color="auto" w:fill="D9EAF7"/>
            <w:tcMar>
              <w:top w:w="80" w:type="dxa"/>
              <w:left w:w="80" w:type="dxa"/>
              <w:bottom w:w="80" w:type="dxa"/>
              <w:right w:w="80" w:type="dxa"/>
            </w:tcMar>
          </w:tcPr>
          <w:p w:rsidR="002B35EB" w:rsidRPr="0017174B" w:rsidRDefault="00BA0D19" w:rsidP="0017174B">
            <w:pPr>
              <w:spacing w:after="0" w:line="240" w:lineRule="auto"/>
              <w:jc w:val="center"/>
              <w:rPr>
                <w:rFonts w:cs="Times New Roman"/>
                <w:sz w:val="26"/>
                <w:szCs w:val="26"/>
              </w:rPr>
            </w:pPr>
            <w:r w:rsidRPr="0017174B">
              <w:rPr>
                <w:rFonts w:cs="Times New Roman"/>
                <w:b/>
                <w:sz w:val="26"/>
                <w:szCs w:val="26"/>
              </w:rPr>
              <w:t>CHỦ THỂ GÓP Ý</w:t>
            </w:r>
          </w:p>
        </w:tc>
        <w:tc>
          <w:tcPr>
            <w:tcW w:w="5085" w:type="dxa"/>
            <w:shd w:val="clear" w:color="auto" w:fill="D9EAF7"/>
            <w:tcMar>
              <w:top w:w="80" w:type="dxa"/>
              <w:left w:w="80" w:type="dxa"/>
              <w:bottom w:w="80" w:type="dxa"/>
              <w:right w:w="80" w:type="dxa"/>
            </w:tcMar>
          </w:tcPr>
          <w:p w:rsidR="002B35EB" w:rsidRPr="0017174B" w:rsidRDefault="00BA0D19" w:rsidP="0017174B">
            <w:pPr>
              <w:spacing w:after="0" w:line="240" w:lineRule="auto"/>
              <w:jc w:val="center"/>
              <w:rPr>
                <w:rFonts w:cs="Times New Roman"/>
                <w:sz w:val="26"/>
                <w:szCs w:val="26"/>
              </w:rPr>
            </w:pPr>
            <w:r w:rsidRPr="0017174B">
              <w:rPr>
                <w:rFonts w:cs="Times New Roman"/>
                <w:b/>
                <w:sz w:val="26"/>
                <w:szCs w:val="26"/>
              </w:rPr>
              <w:t>NỘI DUNG GÓP Ý</w:t>
            </w:r>
          </w:p>
        </w:tc>
        <w:tc>
          <w:tcPr>
            <w:tcW w:w="2957" w:type="dxa"/>
            <w:shd w:val="clear" w:color="auto" w:fill="D9EAF7"/>
            <w:tcMar>
              <w:top w:w="80" w:type="dxa"/>
              <w:left w:w="80" w:type="dxa"/>
              <w:bottom w:w="80" w:type="dxa"/>
              <w:right w:w="80" w:type="dxa"/>
            </w:tcMar>
          </w:tcPr>
          <w:p w:rsidR="002B35EB" w:rsidRPr="0017174B" w:rsidRDefault="00BA0D19" w:rsidP="0017174B">
            <w:pPr>
              <w:spacing w:after="0" w:line="240" w:lineRule="auto"/>
              <w:jc w:val="center"/>
              <w:rPr>
                <w:rFonts w:cs="Times New Roman"/>
                <w:sz w:val="26"/>
                <w:szCs w:val="26"/>
              </w:rPr>
            </w:pPr>
            <w:r w:rsidRPr="0017174B">
              <w:rPr>
                <w:rFonts w:cs="Times New Roman"/>
                <w:b/>
                <w:sz w:val="26"/>
                <w:szCs w:val="26"/>
              </w:rPr>
              <w:t>NỘI DUNG TIẾP THU, GIẢI TRÌNH</w:t>
            </w:r>
          </w:p>
        </w:tc>
      </w:tr>
      <w:tr w:rsidR="002B35EB" w:rsidRPr="0017174B" w:rsidTr="0017174B">
        <w:tc>
          <w:tcPr>
            <w:tcW w:w="14029" w:type="dxa"/>
            <w:gridSpan w:val="4"/>
            <w:shd w:val="clear" w:color="auto" w:fill="D9EAF7"/>
            <w:tcMar>
              <w:top w:w="80" w:type="dxa"/>
              <w:left w:w="80" w:type="dxa"/>
              <w:bottom w:w="80" w:type="dxa"/>
              <w:right w:w="80" w:type="dxa"/>
            </w:tcMar>
          </w:tcPr>
          <w:p w:rsidR="002B35EB" w:rsidRPr="0017174B" w:rsidRDefault="00BA0D19">
            <w:pPr>
              <w:spacing w:after="0" w:line="240" w:lineRule="auto"/>
              <w:jc w:val="both"/>
              <w:rPr>
                <w:rFonts w:cs="Times New Roman"/>
                <w:sz w:val="26"/>
                <w:szCs w:val="26"/>
              </w:rPr>
            </w:pPr>
            <w:r w:rsidRPr="0017174B">
              <w:rPr>
                <w:rFonts w:cs="Times New Roman"/>
                <w:b/>
                <w:sz w:val="26"/>
                <w:szCs w:val="26"/>
              </w:rPr>
              <w:t>I. Ý kiến thống nhất với hồ sơ dự thảo</w:t>
            </w:r>
          </w:p>
        </w:tc>
      </w:tr>
      <w:tr w:rsidR="002B35EB" w:rsidRPr="0017174B" w:rsidTr="0017174B">
        <w:tc>
          <w:tcPr>
            <w:tcW w:w="2313" w:type="dxa"/>
            <w:tcMar>
              <w:top w:w="80" w:type="dxa"/>
              <w:left w:w="80" w:type="dxa"/>
              <w:bottom w:w="80" w:type="dxa"/>
              <w:right w:w="80" w:type="dxa"/>
            </w:tcMar>
          </w:tcPr>
          <w:p w:rsidR="002B35EB" w:rsidRPr="0017174B" w:rsidRDefault="00DD534A" w:rsidP="0017174B">
            <w:pPr>
              <w:spacing w:after="0" w:line="240" w:lineRule="auto"/>
              <w:jc w:val="both"/>
              <w:rPr>
                <w:rFonts w:cs="Times New Roman"/>
                <w:sz w:val="26"/>
                <w:szCs w:val="26"/>
              </w:rPr>
            </w:pPr>
            <w:r w:rsidRPr="0017174B">
              <w:rPr>
                <w:rFonts w:cs="Times New Roman"/>
                <w:bCs/>
                <w:sz w:val="26"/>
                <w:szCs w:val="26"/>
              </w:rPr>
              <w:t>Hồ sơ dự thảo Nghị quyết</w:t>
            </w:r>
          </w:p>
        </w:tc>
        <w:tc>
          <w:tcPr>
            <w:tcW w:w="3674" w:type="dxa"/>
            <w:tcMar>
              <w:top w:w="80" w:type="dxa"/>
              <w:left w:w="80" w:type="dxa"/>
              <w:bottom w:w="80" w:type="dxa"/>
              <w:right w:w="80" w:type="dxa"/>
            </w:tcMar>
          </w:tcPr>
          <w:p w:rsidR="002B35EB" w:rsidRPr="0017174B" w:rsidRDefault="00BA0D19" w:rsidP="0017174B">
            <w:pPr>
              <w:spacing w:after="0" w:line="240" w:lineRule="auto"/>
              <w:jc w:val="both"/>
              <w:rPr>
                <w:rFonts w:cs="Times New Roman"/>
                <w:sz w:val="26"/>
                <w:szCs w:val="26"/>
              </w:rPr>
            </w:pPr>
            <w:r w:rsidRPr="0017174B">
              <w:rPr>
                <w:rFonts w:cs="Times New Roman"/>
                <w:sz w:val="26"/>
                <w:szCs w:val="26"/>
              </w:rPr>
              <w:t xml:space="preserve">Nhóm sở, ngành, cơ quan, đơn vị cấp Thành phố (2 đơn vị): </w:t>
            </w:r>
            <w:r w:rsidRPr="0017174B">
              <w:rPr>
                <w:rFonts w:cs="Times New Roman"/>
                <w:sz w:val="26"/>
                <w:szCs w:val="26"/>
              </w:rPr>
              <w:br/>
              <w:t>Sở Nông nghiệp và Môi trường; Bảo tàng Bình Dương.</w:t>
            </w:r>
          </w:p>
        </w:tc>
        <w:tc>
          <w:tcPr>
            <w:tcW w:w="5085" w:type="dxa"/>
            <w:tcMar>
              <w:top w:w="80" w:type="dxa"/>
              <w:left w:w="80" w:type="dxa"/>
              <w:bottom w:w="80" w:type="dxa"/>
              <w:right w:w="80" w:type="dxa"/>
            </w:tcMar>
          </w:tcPr>
          <w:p w:rsidR="002B35EB" w:rsidRPr="0017174B" w:rsidRDefault="00BA0D19" w:rsidP="0017174B">
            <w:pPr>
              <w:spacing w:after="0" w:line="240" w:lineRule="auto"/>
              <w:jc w:val="both"/>
              <w:rPr>
                <w:rFonts w:cs="Times New Roman"/>
                <w:sz w:val="26"/>
                <w:szCs w:val="26"/>
              </w:rPr>
            </w:pPr>
            <w:r w:rsidRPr="0017174B">
              <w:rPr>
                <w:rFonts w:cs="Times New Roman"/>
                <w:sz w:val="26"/>
                <w:szCs w:val="26"/>
              </w:rPr>
              <w:t>Thống nhất với hồ sơ dự thảo; không có ý kiến góp ý bổ sung.</w:t>
            </w:r>
          </w:p>
        </w:tc>
        <w:tc>
          <w:tcPr>
            <w:tcW w:w="2957" w:type="dxa"/>
            <w:tcMar>
              <w:top w:w="80" w:type="dxa"/>
              <w:left w:w="80" w:type="dxa"/>
              <w:bottom w:w="80" w:type="dxa"/>
              <w:right w:w="80" w:type="dxa"/>
            </w:tcMar>
          </w:tcPr>
          <w:p w:rsidR="002B35EB" w:rsidRPr="0017174B" w:rsidRDefault="00DD534A" w:rsidP="0017174B">
            <w:pPr>
              <w:spacing w:after="0" w:line="240" w:lineRule="auto"/>
              <w:jc w:val="both"/>
              <w:rPr>
                <w:rFonts w:cs="Times New Roman"/>
                <w:sz w:val="26"/>
                <w:szCs w:val="26"/>
              </w:rPr>
            </w:pPr>
            <w:r w:rsidRPr="0017174B">
              <w:rPr>
                <w:rFonts w:cs="Times New Roman"/>
                <w:sz w:val="26"/>
                <w:szCs w:val="26"/>
              </w:rPr>
              <w:t>Sở Văn hóa và Thể thao tiếp thu ý kiến</w:t>
            </w:r>
            <w:r w:rsidR="00BA0D19" w:rsidRPr="0017174B">
              <w:rPr>
                <w:rFonts w:cs="Times New Roman"/>
                <w:sz w:val="26"/>
                <w:szCs w:val="26"/>
              </w:rPr>
              <w:t>.</w:t>
            </w:r>
          </w:p>
        </w:tc>
      </w:tr>
      <w:tr w:rsidR="00D45AE2" w:rsidRPr="0017174B" w:rsidTr="0017174B">
        <w:tc>
          <w:tcPr>
            <w:tcW w:w="2313" w:type="dxa"/>
            <w:tcMar>
              <w:top w:w="80" w:type="dxa"/>
              <w:left w:w="80" w:type="dxa"/>
              <w:bottom w:w="80" w:type="dxa"/>
              <w:right w:w="80" w:type="dxa"/>
            </w:tcMar>
          </w:tcPr>
          <w:p w:rsidR="00D45AE2" w:rsidRPr="0017174B" w:rsidRDefault="00D45AE2" w:rsidP="0017174B">
            <w:pPr>
              <w:spacing w:after="0" w:line="240" w:lineRule="auto"/>
              <w:jc w:val="both"/>
              <w:rPr>
                <w:rFonts w:cs="Times New Roman"/>
                <w:sz w:val="26"/>
                <w:szCs w:val="26"/>
              </w:rPr>
            </w:pPr>
            <w:r w:rsidRPr="0017174B">
              <w:rPr>
                <w:rFonts w:cs="Times New Roman"/>
                <w:bCs/>
                <w:sz w:val="26"/>
                <w:szCs w:val="26"/>
              </w:rPr>
              <w:lastRenderedPageBreak/>
              <w:t>Hồ sơ dự thảo Nghị quyết</w:t>
            </w:r>
          </w:p>
        </w:tc>
        <w:tc>
          <w:tcPr>
            <w:tcW w:w="3674" w:type="dxa"/>
            <w:tcMar>
              <w:top w:w="80" w:type="dxa"/>
              <w:left w:w="80" w:type="dxa"/>
              <w:bottom w:w="80" w:type="dxa"/>
              <w:right w:w="80" w:type="dxa"/>
            </w:tcMar>
          </w:tcPr>
          <w:p w:rsidR="00D45AE2" w:rsidRPr="0017174B" w:rsidRDefault="00D45AE2" w:rsidP="00583175">
            <w:pPr>
              <w:spacing w:after="0" w:line="240" w:lineRule="auto"/>
              <w:jc w:val="both"/>
              <w:rPr>
                <w:rFonts w:cs="Times New Roman"/>
                <w:sz w:val="26"/>
                <w:szCs w:val="26"/>
              </w:rPr>
            </w:pPr>
            <w:r w:rsidRPr="0017174B">
              <w:rPr>
                <w:rFonts w:cs="Times New Roman"/>
                <w:sz w:val="26"/>
                <w:szCs w:val="26"/>
              </w:rPr>
              <w:t>Ý kiến của Ủy ban nhân dân phường, xã và Phòng Văn hóa - Xã hội phường, xã (</w:t>
            </w:r>
            <w:r w:rsidR="00866EB5" w:rsidRPr="0017174B">
              <w:rPr>
                <w:rFonts w:cs="Times New Roman"/>
                <w:sz w:val="26"/>
                <w:szCs w:val="26"/>
              </w:rPr>
              <w:t>10</w:t>
            </w:r>
            <w:r w:rsidR="00583175">
              <w:rPr>
                <w:rFonts w:cs="Times New Roman"/>
                <w:sz w:val="26"/>
                <w:szCs w:val="26"/>
              </w:rPr>
              <w:t>9</w:t>
            </w:r>
            <w:r w:rsidRPr="0017174B">
              <w:rPr>
                <w:rFonts w:cs="Times New Roman"/>
                <w:sz w:val="26"/>
                <w:szCs w:val="26"/>
              </w:rPr>
              <w:t xml:space="preserve"> đơn vị): phường Xuân Hòa, phường An Phú Đông, phường Tân Thành, phường An Nhơn, phường Rạch Dừa, phường An Hội Đông, phường Phú Lợi, phường Hòa Lợi, phường Tam Long, phường Cầu Kiệu, phường Bình Trị Đông, phường An Khánh, phường Bình Trưng, phường Khánh Hội, phường Long Hương, phường Tây Nam, phường An Hội Tây, phường Xóm Chiếu, phường Cầu Ông Lãnh, phường Lái Thiêu, phường Tân Thới Hiệp, phường Bình Cơ, phường Bình Dương, phường Bến Cát, phường Phú Định, phường Tân Sơn Nhất, phường Thuận Giao, phường Chợ Lớn, phường An Phú, phường Bình Tân, phường Thủ Đức, phường Tân Hiệp, phường Phú Thuận, phường Chợ Quán, phường Tăng Nhơn Phú, phường Long Nguyên, phường Bình Thới, phường Linh Xuân, phường </w:t>
            </w:r>
            <w:r w:rsidRPr="0017174B">
              <w:rPr>
                <w:rFonts w:cs="Times New Roman"/>
                <w:sz w:val="26"/>
                <w:szCs w:val="26"/>
              </w:rPr>
              <w:lastRenderedPageBreak/>
              <w:t xml:space="preserve">Chánh Hưng, phường Bình Tiên, phường Vĩnh Hội, phường Phú Lâm, phường Bình Hòa, phường Long Phước, phường Long Bình, phường Tân Khánh, phường Tân Bình, phường Tân Hòa, phường Bình Lợi Trung, phường Minh Phụng, phường Bình Quới, phường Bình Thạnh, phường Bình Phú, phường Phước Long, phường Thông Tây Hội, phường Phú Thọ Hòa, phường Hiệp Bình, phường Hạnh Thông, phường Hòa Bình, phường Tân Định, phường Diên Hồng, phường Phú Nhuận, phường Gia Định, phường Gò Vấp, </w:t>
            </w:r>
            <w:r w:rsidR="00B13224" w:rsidRPr="0017174B">
              <w:rPr>
                <w:rFonts w:cs="Times New Roman"/>
                <w:sz w:val="26"/>
                <w:szCs w:val="26"/>
              </w:rPr>
              <w:t>phường Tân Hải, phường Bà Rịa, phường An Đông, phường Đức Nhuận, phường Tây Thạnh</w:t>
            </w:r>
            <w:r w:rsidR="00583175">
              <w:rPr>
                <w:rFonts w:cs="Times New Roman"/>
                <w:sz w:val="26"/>
                <w:szCs w:val="26"/>
              </w:rPr>
              <w:t>, phường Đông Hưng Thuận</w:t>
            </w:r>
            <w:r w:rsidR="00B13224" w:rsidRPr="0017174B">
              <w:rPr>
                <w:rFonts w:cs="Times New Roman"/>
                <w:sz w:val="26"/>
                <w:szCs w:val="26"/>
              </w:rPr>
              <w:t xml:space="preserve">, xã Thường Tân, xã Củ Chi, xã An Nhơn Tây, xã Bình Giã, </w:t>
            </w:r>
            <w:r w:rsidR="00831A81">
              <w:rPr>
                <w:rFonts w:cs="Times New Roman"/>
                <w:sz w:val="26"/>
                <w:szCs w:val="26"/>
              </w:rPr>
              <w:t xml:space="preserve">xã </w:t>
            </w:r>
            <w:r w:rsidR="00B13224" w:rsidRPr="0017174B">
              <w:rPr>
                <w:rFonts w:cs="Times New Roman"/>
                <w:sz w:val="26"/>
                <w:szCs w:val="26"/>
              </w:rPr>
              <w:t xml:space="preserve">Bình Lợi, </w:t>
            </w:r>
            <w:r w:rsidRPr="0017174B">
              <w:rPr>
                <w:rFonts w:cs="Times New Roman"/>
                <w:sz w:val="26"/>
                <w:szCs w:val="26"/>
              </w:rPr>
              <w:t xml:space="preserve">xã Vĩnh Lộc, xã Nhà Bè, xã Long Hòa, xã Long Sơn, xã Hiệp Phước, xã Đông Thạnh, xã Châu Đức, xã Đất Đỏ, xã Cần Giờ, xã Kim Long, xã Bắc Tân Uyên, xã Bàu Bàng, xã Minh </w:t>
            </w:r>
            <w:r w:rsidRPr="0017174B">
              <w:rPr>
                <w:rFonts w:cs="Times New Roman"/>
                <w:sz w:val="26"/>
                <w:szCs w:val="26"/>
              </w:rPr>
              <w:lastRenderedPageBreak/>
              <w:t>Thạnh, xã Tân An Hội, xã Bình Mỹ, xã Long Hải, xã Thanh An, xã Dầu Tiếng, xã Thái Mỹ, xã Xuyên Mộc, xã Hòa Hội, xã Long Điền, xã Bình Chánh, xã An Long, xã Phước Hòa, xã Xuân Thới Sơn, xã Phước Hải, xã Hóc Môn, xã Xuân Sơn, xã Hồ Tràm, xã Nhuận Đức, xã Phước Thành, xã Phú Giáo, xã Tân Nhựt.</w:t>
            </w:r>
          </w:p>
        </w:tc>
        <w:tc>
          <w:tcPr>
            <w:tcW w:w="5085" w:type="dxa"/>
            <w:tcMar>
              <w:top w:w="80" w:type="dxa"/>
              <w:left w:w="80" w:type="dxa"/>
              <w:bottom w:w="80" w:type="dxa"/>
              <w:right w:w="80" w:type="dxa"/>
            </w:tcMar>
          </w:tcPr>
          <w:p w:rsidR="00D45AE2" w:rsidRPr="0017174B" w:rsidRDefault="00D45AE2" w:rsidP="0017174B">
            <w:pPr>
              <w:spacing w:after="0" w:line="240" w:lineRule="auto"/>
              <w:jc w:val="both"/>
              <w:rPr>
                <w:rFonts w:cs="Times New Roman"/>
                <w:sz w:val="26"/>
                <w:szCs w:val="26"/>
              </w:rPr>
            </w:pPr>
            <w:r w:rsidRPr="0017174B">
              <w:rPr>
                <w:rFonts w:cs="Times New Roman"/>
                <w:sz w:val="26"/>
                <w:szCs w:val="26"/>
              </w:rPr>
              <w:lastRenderedPageBreak/>
              <w:t>Thống nhất với hồ sơ dự thảo; không có ý kiến góp ý bổ sung.</w:t>
            </w:r>
          </w:p>
        </w:tc>
        <w:tc>
          <w:tcPr>
            <w:tcW w:w="2957" w:type="dxa"/>
            <w:tcMar>
              <w:top w:w="80" w:type="dxa"/>
              <w:left w:w="80" w:type="dxa"/>
              <w:bottom w:w="80" w:type="dxa"/>
              <w:right w:w="80" w:type="dxa"/>
            </w:tcMar>
          </w:tcPr>
          <w:p w:rsidR="00D45AE2" w:rsidRPr="0017174B" w:rsidRDefault="00D45AE2" w:rsidP="0017174B">
            <w:pPr>
              <w:spacing w:after="0" w:line="240" w:lineRule="auto"/>
              <w:jc w:val="both"/>
              <w:rPr>
                <w:rFonts w:cs="Times New Roman"/>
                <w:sz w:val="26"/>
                <w:szCs w:val="26"/>
              </w:rPr>
            </w:pPr>
            <w:r w:rsidRPr="0017174B">
              <w:rPr>
                <w:rFonts w:cs="Times New Roman"/>
                <w:sz w:val="26"/>
                <w:szCs w:val="26"/>
              </w:rPr>
              <w:t>Sở Văn hóa và Thể thao tiếp thu ý kiến.</w:t>
            </w:r>
          </w:p>
        </w:tc>
      </w:tr>
      <w:tr w:rsidR="00F411BD" w:rsidRPr="0017174B" w:rsidTr="0017174B">
        <w:tc>
          <w:tcPr>
            <w:tcW w:w="14029" w:type="dxa"/>
            <w:gridSpan w:val="4"/>
            <w:shd w:val="clear" w:color="auto" w:fill="D9EAF7"/>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b/>
                <w:sz w:val="26"/>
                <w:szCs w:val="26"/>
              </w:rPr>
              <w:lastRenderedPageBreak/>
              <w:t>II. Ý kiến góp ý cụ thể và nội dung tiếp thu, giải trình</w:t>
            </w:r>
          </w:p>
        </w:tc>
      </w:tr>
      <w:tr w:rsidR="000C2A14" w:rsidRPr="0017174B" w:rsidTr="0017174B">
        <w:tc>
          <w:tcPr>
            <w:tcW w:w="2313" w:type="dxa"/>
            <w:tcMar>
              <w:top w:w="80" w:type="dxa"/>
              <w:left w:w="80" w:type="dxa"/>
              <w:bottom w:w="80" w:type="dxa"/>
              <w:right w:w="80" w:type="dxa"/>
            </w:tcMar>
          </w:tcPr>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Cơ sở pháp lý và thẩm quyền ban hành Nghị quyết</w:t>
            </w:r>
          </w:p>
        </w:tc>
        <w:tc>
          <w:tcPr>
            <w:tcW w:w="3674" w:type="dxa"/>
            <w:tcMar>
              <w:top w:w="80" w:type="dxa"/>
              <w:left w:w="80" w:type="dxa"/>
              <w:bottom w:w="80" w:type="dxa"/>
              <w:right w:w="80" w:type="dxa"/>
            </w:tcMar>
          </w:tcPr>
          <w:p w:rsidR="0017174B" w:rsidRDefault="000A5BFF" w:rsidP="0017174B">
            <w:pPr>
              <w:spacing w:after="0" w:line="240" w:lineRule="auto"/>
              <w:jc w:val="center"/>
              <w:rPr>
                <w:rFonts w:cs="Times New Roman"/>
                <w:sz w:val="26"/>
                <w:szCs w:val="26"/>
              </w:rPr>
            </w:pPr>
            <w:r w:rsidRPr="0017174B">
              <w:rPr>
                <w:rFonts w:cs="Times New Roman"/>
                <w:sz w:val="26"/>
                <w:szCs w:val="26"/>
              </w:rPr>
              <w:t>Sở Tư pháp</w:t>
            </w:r>
          </w:p>
          <w:p w:rsidR="000C2A14" w:rsidRPr="0017174B" w:rsidRDefault="000A5BFF" w:rsidP="0017174B">
            <w:pPr>
              <w:spacing w:after="0" w:line="240" w:lineRule="auto"/>
              <w:jc w:val="center"/>
              <w:rPr>
                <w:rFonts w:cs="Times New Roman"/>
                <w:sz w:val="26"/>
                <w:szCs w:val="26"/>
              </w:rPr>
            </w:pPr>
            <w:r w:rsidRPr="0017174B">
              <w:rPr>
                <w:rFonts w:cs="Times New Roman"/>
                <w:sz w:val="26"/>
                <w:szCs w:val="26"/>
              </w:rPr>
              <w:t>(Công văn số 10056/STP-VB ngày 07/8/2026)</w:t>
            </w:r>
          </w:p>
        </w:tc>
        <w:tc>
          <w:tcPr>
            <w:tcW w:w="5085" w:type="dxa"/>
            <w:tcMar>
              <w:top w:w="80" w:type="dxa"/>
              <w:left w:w="80" w:type="dxa"/>
              <w:bottom w:w="80" w:type="dxa"/>
              <w:right w:w="80" w:type="dxa"/>
            </w:tcMar>
          </w:tcPr>
          <w:p w:rsidR="000C2A14" w:rsidRPr="0017174B" w:rsidRDefault="000A5BFF" w:rsidP="0017174B">
            <w:pPr>
              <w:spacing w:after="0" w:line="240" w:lineRule="auto"/>
              <w:jc w:val="both"/>
              <w:rPr>
                <w:rFonts w:cs="Times New Roman"/>
                <w:sz w:val="26"/>
                <w:szCs w:val="26"/>
              </w:rPr>
            </w:pPr>
            <w:r w:rsidRPr="0017174B">
              <w:rPr>
                <w:rFonts w:cs="Times New Roman"/>
                <w:b/>
                <w:sz w:val="26"/>
                <w:szCs w:val="26"/>
              </w:rPr>
              <w:t>1. Về cơ sở pháp lý và thẩm quyền ban hành văn bản</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xml:space="preserve">Dự thảo Tờ trình đã trình bày về sự cần thiết và thẩm quyền ban hành văn bản, theo đó, liên quan đến việc ban hành quy định mức chi và việc sử dụng kinh phí thực hiện công tác thăm dò, khai quật khảo cổ từ nguồn ngân sách nhà </w:t>
            </w:r>
          </w:p>
          <w:p w:rsidR="0017174B" w:rsidRDefault="000A5BFF" w:rsidP="0017174B">
            <w:pPr>
              <w:spacing w:after="0" w:line="240" w:lineRule="auto"/>
              <w:jc w:val="both"/>
              <w:rPr>
                <w:rFonts w:cs="Times New Roman"/>
                <w:sz w:val="26"/>
                <w:szCs w:val="26"/>
              </w:rPr>
            </w:pPr>
            <w:r w:rsidRPr="0017174B">
              <w:rPr>
                <w:rFonts w:cs="Times New Roman"/>
                <w:sz w:val="26"/>
                <w:szCs w:val="26"/>
              </w:rPr>
              <w:t>nước, trước sắp xếp Hội đồng nhân dân Thành phố Hồ Chí Minh, tỉnh Bà Rịa - Vũng Tàu và tỉnh Bình Dương đã ban hành các Nghị quyết quy định về nội dung trên:</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Nghị quyết số 10/2021/NQ-HĐND ngày 25 tháng 6 năm 2021</w:t>
            </w:r>
            <w:r w:rsidRPr="0017174B">
              <w:rPr>
                <w:rFonts w:cs="Times New Roman"/>
                <w:b/>
                <w:sz w:val="26"/>
                <w:szCs w:val="26"/>
              </w:rPr>
              <w:t xml:space="preserve"> </w:t>
            </w:r>
            <w:r w:rsidRPr="0017174B">
              <w:rPr>
                <w:rFonts w:cs="Times New Roman"/>
                <w:sz w:val="26"/>
                <w:szCs w:val="26"/>
              </w:rPr>
              <w:t>của Hội đồng nhân dân Thành phố Hồ Chí Minh;</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lastRenderedPageBreak/>
              <w:t>- Nghị quyết số 04/2020/NQ-HĐND ngày 20 tháng 7 năm 2020 của Hội đồng nhân dân tỉnh Bình Dương;</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Nghị quyết số 13/2020/NQ-HĐND ngày 13 tháng 12 năm 2020 của Hội đồng nhân dân tỉnh Bà Rịa - Vũng Tàu.</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Qua nghiên cứu, Sở Tư pháp nhận thấy:</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xml:space="preserve">- Căn cứ khoản 2 Điều 6 Thông tư số 67/2019/TT-BTC ngày 23 tháng 9 năm 2019 của Bộ Tài chính quy định nội dung và mức chi thực hiện công tác thăm dò, khai quật khảo cổ từ nguồn ngân sách nhà nước, quy định: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w:t>
            </w:r>
            <w:r w:rsidRPr="0017174B">
              <w:rPr>
                <w:rFonts w:cs="Times New Roman"/>
                <w:b/>
                <w:i/>
                <w:sz w:val="26"/>
                <w:szCs w:val="26"/>
              </w:rPr>
              <w:t>Điều 6. Tổ chức thực hiện</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 xml:space="preserve">…2. Căn cứ mức chi quy định tại Thông tư này và khả năng cân đối nguồn ngân sách của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đảm bảo </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theo quy định hiện hành.</w:t>
            </w:r>
            <w:r w:rsidRPr="0017174B">
              <w:rPr>
                <w:rFonts w:cs="Times New Roman"/>
                <w:sz w:val="26"/>
                <w:szCs w:val="26"/>
              </w:rPr>
              <w:t>”.</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Luật Ban hành văn bản quy phạm pháp luật năm 2025 (được sửa đổi, bổ sung) quy định như sau:</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w:t>
            </w:r>
            <w:r w:rsidRPr="0017174B">
              <w:rPr>
                <w:rFonts w:cs="Times New Roman"/>
                <w:b/>
                <w:i/>
                <w:sz w:val="26"/>
                <w:szCs w:val="26"/>
              </w:rPr>
              <w:t>Điều 21. Nghị quyết của Hội đồng nhân dân cấp tỉnh, quyết định của Ủy ban nhân dân cấp tỉnh</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lastRenderedPageBreak/>
              <w:t>1. Hội đồng nhân dân cấp tỉnh ban hành nghị quyết để quy định:</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a) Chi tiết điều, khoản, điểm và các nội dung khác được giao trong văn bản quy phạm pháp luật của cơ quan nhà nước cấp trên;</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w:t>
            </w:r>
          </w:p>
          <w:p w:rsidR="000C2A14" w:rsidRPr="0017174B" w:rsidRDefault="000A5BFF" w:rsidP="0017174B">
            <w:pPr>
              <w:spacing w:after="0" w:line="240" w:lineRule="auto"/>
              <w:jc w:val="both"/>
              <w:rPr>
                <w:rFonts w:cs="Times New Roman"/>
                <w:sz w:val="26"/>
                <w:szCs w:val="26"/>
              </w:rPr>
            </w:pPr>
            <w:r w:rsidRPr="0017174B">
              <w:rPr>
                <w:rFonts w:cs="Times New Roman"/>
                <w:b/>
                <w:i/>
                <w:sz w:val="26"/>
                <w:szCs w:val="26"/>
              </w:rPr>
              <w:t>Điều 54.</w:t>
            </w:r>
            <w:r w:rsidRPr="0017174B">
              <w:rPr>
                <w:rFonts w:cs="Times New Roman"/>
                <w:b/>
                <w:sz w:val="26"/>
                <w:szCs w:val="26"/>
              </w:rPr>
              <w:t xml:space="preserve"> </w:t>
            </w:r>
            <w:r w:rsidRPr="0017174B">
              <w:rPr>
                <w:rFonts w:cs="Times New Roman"/>
                <w:b/>
                <w:i/>
                <w:sz w:val="26"/>
                <w:szCs w:val="26"/>
              </w:rPr>
              <w:t>Hiệu lực về không gian</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 xml:space="preserve">b) Trường hợp nhiều đơn vị hành chính được nhập thành một đơn vị hành chính mới cùng cấp thì </w:t>
            </w:r>
            <w:r w:rsidRPr="0017174B">
              <w:rPr>
                <w:rFonts w:cs="Times New Roman"/>
                <w:b/>
                <w:i/>
                <w:sz w:val="26"/>
                <w:szCs w:val="26"/>
              </w:rPr>
              <w:t>văn bản quy phạm pháp luật của Hội đồng nhân dân</w:t>
            </w:r>
            <w:r w:rsidRPr="0017174B">
              <w:rPr>
                <w:rFonts w:cs="Times New Roman"/>
                <w:i/>
                <w:sz w:val="26"/>
                <w:szCs w:val="26"/>
              </w:rPr>
              <w:t xml:space="preserve">, … của đơn vị hành chính được nhập tiếp tục có hiệu lực trong phạm vi đơn vị hành chính đó cho đến khi Hội đồng nhân dân, … của đơn vị hành chính mới ban hành văn bản hành chính để quyết định việc áp dụng hoặc bãi bỏ văn bản quy phạm pháp luật của Hội đồng nhân dân, Ủy ban nhân dân, Chủ tịch Ủy ban nhân </w:t>
            </w:r>
            <w:r w:rsidRPr="0017174B">
              <w:rPr>
                <w:rFonts w:cs="Times New Roman"/>
                <w:i/>
                <w:sz w:val="26"/>
                <w:szCs w:val="26"/>
              </w:rPr>
              <w:lastRenderedPageBreak/>
              <w:t>dân của đơn vị hành chính được nhập hoặc ban hành văn bản quy phạm pháp luật mới;…”</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Theo các quy định nêu trên, nhận thấy: Hội đồng nhân dân Thành phố có thẩm quyền:</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xml:space="preserve">- Quy định mức chi và việc sử dụng kinh phí thực hiện công tác thăm dò,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khai quật khảo cổ từ nguồn ngân sách nhà nước theo quy định tại khoản 2 Điều 6 Thông tư số 67/2019/TT-BTC, điểm a khoản 1 Điều 21 Luật Ban hành văn bản quy phạm pháp luật năm 2025;</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Được ban hành văn bản hành chính để tiếp tục áp dụng hoặc ban hành văn bản quy phạm pháp luật mới áp dụng trên toàn địa bàn (sau sắp xếp); trong đó, được ban hành văn bản quy phạm pháp luật mới để quy định chi tiết điều, khoản, điểm và các nội dung khác được giao trong văn bản quy phạm pháp luật của cơ quan nhà nước cấp trên.Từ những nội dung nêu trên và kết quả rà soát, quyết định, chịu trách nhiệm lựa chọn hình thức tham mưu Hội đồng nhân dân Thành phố ban hành văn bản quy phạm pháp luật mới của</w:t>
            </w:r>
            <w:r w:rsidRPr="0017174B">
              <w:rPr>
                <w:rFonts w:cs="Times New Roman"/>
                <w:b/>
                <w:sz w:val="26"/>
                <w:szCs w:val="26"/>
              </w:rPr>
              <w:t xml:space="preserve"> </w:t>
            </w:r>
            <w:r w:rsidRPr="0017174B">
              <w:rPr>
                <w:rFonts w:cs="Times New Roman"/>
                <w:sz w:val="26"/>
                <w:szCs w:val="26"/>
              </w:rPr>
              <w:t>Sở Văn hóa và Thể thao,</w:t>
            </w:r>
            <w:r w:rsidRPr="0017174B">
              <w:rPr>
                <w:rFonts w:cs="Times New Roman"/>
                <w:b/>
                <w:sz w:val="26"/>
                <w:szCs w:val="26"/>
              </w:rPr>
              <w:t xml:space="preserve"> </w:t>
            </w:r>
            <w:r w:rsidRPr="0017174B">
              <w:rPr>
                <w:rFonts w:cs="Times New Roman"/>
                <w:sz w:val="26"/>
                <w:szCs w:val="26"/>
              </w:rPr>
              <w:t xml:space="preserve">Sở Tư pháp nhận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xml:space="preserve">thấy việc Sở Văn hóa và Thể thao tham mưu, đề xuất Ủy ban nhân dân Thành phố trình Hội đồng nhân dân Thành xem xét, ban hành Nghị quyết quy định mức chi và việc sử dụng kinh phí thực hiện công tác thăm dò, khai quật khảo cổ từ </w:t>
            </w:r>
            <w:r w:rsidRPr="0017174B">
              <w:rPr>
                <w:rFonts w:cs="Times New Roman"/>
                <w:sz w:val="26"/>
                <w:szCs w:val="26"/>
              </w:rPr>
              <w:lastRenderedPageBreak/>
              <w:t>nguồn ngân sách nhà nước trên địa bàn Thành phố Hồ Chí Minh là phù hợp thẩm quyền.</w:t>
            </w:r>
          </w:p>
        </w:tc>
        <w:tc>
          <w:tcPr>
            <w:tcW w:w="2957" w:type="dxa"/>
            <w:tcMar>
              <w:top w:w="80" w:type="dxa"/>
              <w:left w:w="80" w:type="dxa"/>
              <w:bottom w:w="80" w:type="dxa"/>
              <w:right w:w="80" w:type="dxa"/>
            </w:tcMar>
          </w:tcPr>
          <w:p w:rsidR="000C2A14" w:rsidRPr="0017174B" w:rsidRDefault="000A5BFF" w:rsidP="0017174B">
            <w:pPr>
              <w:spacing w:after="0" w:line="240" w:lineRule="auto"/>
              <w:jc w:val="both"/>
              <w:rPr>
                <w:rFonts w:cs="Times New Roman"/>
                <w:sz w:val="26"/>
                <w:szCs w:val="26"/>
              </w:rPr>
            </w:pPr>
            <w:r w:rsidRPr="0017174B">
              <w:rPr>
                <w:rFonts w:cs="Times New Roman"/>
                <w:sz w:val="26"/>
                <w:szCs w:val="26"/>
              </w:rPr>
              <w:lastRenderedPageBreak/>
              <w:t>Tiếp thu.</w:t>
            </w:r>
            <w:r w:rsidRPr="0017174B">
              <w:rPr>
                <w:rFonts w:cs="Times New Roman"/>
                <w:b/>
                <w:sz w:val="26"/>
                <w:szCs w:val="26"/>
              </w:rPr>
              <w:t xml:space="preserve"> </w:t>
            </w:r>
            <w:r w:rsidRPr="0017174B">
              <w:rPr>
                <w:rFonts w:cs="Times New Roman"/>
                <w:sz w:val="26"/>
                <w:szCs w:val="26"/>
              </w:rPr>
              <w:t xml:space="preserve">Sở Văn hóa và Thể thao thống nhất với ý kiến của Sở Tư pháp về cơ sở pháp lý và thẩm quyền ban hành Nghị quyết; tiếp tục rà soát, hoàn thiện phần cơ sở pháp lý, cơ sở thực tiễn và trách nhiệm của cơ quan chủ trì soạn thảo trong hồ sơ trình, bảo đảm phù hợp khoản 2 Điều 6 Thông tư số 67/2019/TT-BTC, Luật Ban hành văn bản quy phạm pháp luật năm 2025 và quy định về </w:t>
            </w:r>
            <w:r w:rsidRPr="0017174B">
              <w:rPr>
                <w:rFonts w:cs="Times New Roman"/>
                <w:sz w:val="26"/>
                <w:szCs w:val="26"/>
              </w:rPr>
              <w:lastRenderedPageBreak/>
              <w:t>hiệu lực không gian sau sắp xếp đơn vị hành chính.</w:t>
            </w:r>
          </w:p>
        </w:tc>
      </w:tr>
      <w:tr w:rsidR="000C2A14" w:rsidRPr="0017174B" w:rsidTr="0017174B">
        <w:tc>
          <w:tcPr>
            <w:tcW w:w="2313" w:type="dxa"/>
            <w:tcMar>
              <w:top w:w="80" w:type="dxa"/>
              <w:left w:w="80" w:type="dxa"/>
              <w:bottom w:w="80" w:type="dxa"/>
              <w:right w:w="80" w:type="dxa"/>
            </w:tcMar>
          </w:tcPr>
          <w:p w:rsidR="000C2A14" w:rsidRPr="0017174B" w:rsidRDefault="000A5BFF" w:rsidP="0017174B">
            <w:pPr>
              <w:spacing w:after="0" w:line="240" w:lineRule="auto"/>
              <w:jc w:val="both"/>
              <w:rPr>
                <w:rFonts w:cs="Times New Roman"/>
                <w:sz w:val="26"/>
                <w:szCs w:val="26"/>
              </w:rPr>
            </w:pPr>
            <w:r w:rsidRPr="0017174B">
              <w:rPr>
                <w:rFonts w:cs="Times New Roman"/>
                <w:sz w:val="26"/>
                <w:szCs w:val="26"/>
              </w:rPr>
              <w:lastRenderedPageBreak/>
              <w:t>Điều 5 - Tổ chức thực hiện</w:t>
            </w:r>
          </w:p>
        </w:tc>
        <w:tc>
          <w:tcPr>
            <w:tcW w:w="3674" w:type="dxa"/>
            <w:tcMar>
              <w:top w:w="80" w:type="dxa"/>
              <w:left w:w="80" w:type="dxa"/>
              <w:bottom w:w="80" w:type="dxa"/>
              <w:right w:w="80" w:type="dxa"/>
            </w:tcMar>
          </w:tcPr>
          <w:p w:rsidR="0017174B" w:rsidRDefault="000A5BFF" w:rsidP="0017174B">
            <w:pPr>
              <w:spacing w:after="0" w:line="240" w:lineRule="auto"/>
              <w:jc w:val="center"/>
              <w:rPr>
                <w:rFonts w:cs="Times New Roman"/>
                <w:sz w:val="26"/>
                <w:szCs w:val="26"/>
              </w:rPr>
            </w:pPr>
            <w:r w:rsidRPr="0017174B">
              <w:rPr>
                <w:rFonts w:cs="Times New Roman"/>
                <w:sz w:val="26"/>
                <w:szCs w:val="26"/>
              </w:rPr>
              <w:t>Sở Tư pháp</w:t>
            </w:r>
          </w:p>
          <w:p w:rsidR="000C2A14" w:rsidRPr="0017174B" w:rsidRDefault="000A5BFF" w:rsidP="0017174B">
            <w:pPr>
              <w:spacing w:after="0" w:line="240" w:lineRule="auto"/>
              <w:jc w:val="center"/>
              <w:rPr>
                <w:rFonts w:cs="Times New Roman"/>
                <w:sz w:val="26"/>
                <w:szCs w:val="26"/>
              </w:rPr>
            </w:pPr>
            <w:r w:rsidRPr="0017174B">
              <w:rPr>
                <w:rFonts w:cs="Times New Roman"/>
                <w:sz w:val="26"/>
                <w:szCs w:val="26"/>
              </w:rPr>
              <w:t>(Công văn số 10056/STP-VB ngày 07/8/2026)</w:t>
            </w:r>
          </w:p>
        </w:tc>
        <w:tc>
          <w:tcPr>
            <w:tcW w:w="5085" w:type="dxa"/>
            <w:tcMar>
              <w:top w:w="80" w:type="dxa"/>
              <w:left w:w="80" w:type="dxa"/>
              <w:bottom w:w="80" w:type="dxa"/>
              <w:right w:w="80" w:type="dxa"/>
            </w:tcMar>
          </w:tcPr>
          <w:p w:rsidR="000C2A14" w:rsidRPr="0017174B" w:rsidRDefault="000A5BFF" w:rsidP="0017174B">
            <w:pPr>
              <w:spacing w:after="0" w:line="240" w:lineRule="auto"/>
              <w:jc w:val="both"/>
              <w:rPr>
                <w:rFonts w:cs="Times New Roman"/>
                <w:b/>
                <w:sz w:val="26"/>
                <w:szCs w:val="26"/>
              </w:rPr>
            </w:pPr>
            <w:r w:rsidRPr="0017174B">
              <w:rPr>
                <w:rFonts w:cs="Times New Roman"/>
                <w:b/>
                <w:sz w:val="26"/>
                <w:szCs w:val="26"/>
              </w:rPr>
              <w:t>a) Về tổ chức thực hiện</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Dự thảo Nghị quyết quy định:</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w:t>
            </w:r>
            <w:r w:rsidRPr="0017174B">
              <w:rPr>
                <w:rFonts w:cs="Times New Roman"/>
                <w:i/>
                <w:sz w:val="26"/>
                <w:szCs w:val="26"/>
              </w:rPr>
              <w:t>Điều 5. Tổ chức thực hiện</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1. Giao Ủy ban nhân dân Thành phố tổ chức triển khai thực hiện Nghị quyết này.</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2. Thường trực Hội đồng nhân dân, các Ban của Hội đồng nhân dân Thành phố, các Tổ đại biểu Hội đồng nhân dân Thành phố và các đại biểu Hội đồng nhân dân Thành phố giám sát chặt chẽ quá trình tổ chức triển khai thực hiện Nghị quyết này.</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3. Trường hợp các văn bản được viện dẫn, dẫn chiếu tại Nghị quyết này đã được sửa đổi, bổ sung hoặc thay thế bằng văn bản mới thì áp dụng theo các văn bản mới ban hành, trừ trường hợp pháp luật có quy định khác.</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4. Việc lập, phê duyệt dự án; cấp phép, tổ chức thực hiện thăm dò, khai quật khảo cổ và quản lý, xử lý kết quả sau thăm dò, khai quật khảo cổ thực hiện theo quy định của pháp luật về di sản văn hóa và pháp luật có liên quan..</w:t>
            </w:r>
            <w:r w:rsidRPr="0017174B">
              <w:rPr>
                <w:rFonts w:cs="Times New Roman"/>
                <w:sz w:val="26"/>
                <w:szCs w:val="26"/>
              </w:rPr>
              <w:t>”.</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Đối với nội dung về việc áp dụng văn bản nêu tại khoản 3 Điều 5 dự thảo, đề nghị cơ quan soạn thảo chuyển qua Điều 6 về điều khoản thi hành thì sẽ phù hợp hơn.</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lastRenderedPageBreak/>
              <w:t>Đối với nội dung quy định tại khoản 4 Điều 5 dự thảo về việc lập, phê duyệt dự án; cấp phép, tổ chức thực hiện và quản lý, xử lý kết quả sau thăm dò, khai quật; căn cứ khoản 2 Điều 6 Thông tư số 67/2019/TT-BTC, Sở Tư pháp nhận thấy nội dung dự thảo nêu trên không thuộc nội dung được giao cho Hội đồng nhân dân Thành phố quy định. Do đó, đề nghị cơ quan soạn thảo lược bỏ nội dung nêu trên cho chuẩn xác.</w:t>
            </w:r>
          </w:p>
        </w:tc>
        <w:tc>
          <w:tcPr>
            <w:tcW w:w="2957" w:type="dxa"/>
            <w:tcMar>
              <w:top w:w="80" w:type="dxa"/>
              <w:left w:w="80" w:type="dxa"/>
              <w:bottom w:w="80" w:type="dxa"/>
              <w:right w:w="80" w:type="dxa"/>
            </w:tcMar>
          </w:tcPr>
          <w:p w:rsidR="000C2A14" w:rsidRPr="0017174B" w:rsidRDefault="000A5BFF" w:rsidP="0017174B">
            <w:pPr>
              <w:spacing w:after="0" w:line="240" w:lineRule="auto"/>
              <w:jc w:val="both"/>
              <w:rPr>
                <w:rFonts w:cs="Times New Roman"/>
                <w:sz w:val="26"/>
                <w:szCs w:val="26"/>
              </w:rPr>
            </w:pPr>
            <w:r w:rsidRPr="0017174B">
              <w:rPr>
                <w:rFonts w:cs="Times New Roman"/>
                <w:sz w:val="26"/>
                <w:szCs w:val="26"/>
              </w:rPr>
              <w:lastRenderedPageBreak/>
              <w:t>Tiếp thu. Chuyển nội dung tại khoản 3 Điều 5 dự thảo Nghị quyết về áp dụng văn bản được viện dẫn, dẫn chiếu sang Điều 6 về điều khoản thi hành.</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Tiếp thu. Lược bỏ khoản 4 Điều 5 về việc lập, phê duyệt dự án; cấp phép, tổ chức thực hiện thăm dò, khai quật khảo cổ và quản lý, xử lý kết quả sau thăm dò, khai quật khảo cổ, do nội dung này không thuộc phạm vi được giao cho Hội đồng nhân dân Thành phố quy định tại khoản 2 Điều 6 Thông tư số 67/2019/TT-BTC.</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lastRenderedPageBreak/>
              <w:t>Điều 3 - Mức chi</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Tư pháp</w:t>
            </w:r>
            <w:r w:rsidRPr="0017174B">
              <w:rPr>
                <w:rFonts w:cs="Times New Roman"/>
                <w:sz w:val="26"/>
                <w:szCs w:val="26"/>
              </w:rPr>
              <w:br/>
              <w:t>(Công văn số 10056/STP-VB ngày 07/8/2026)</w:t>
            </w:r>
          </w:p>
        </w:tc>
        <w:tc>
          <w:tcPr>
            <w:tcW w:w="5085"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b/>
                <w:sz w:val="26"/>
                <w:szCs w:val="26"/>
              </w:rPr>
              <w:t>b) Về mức chi</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Đề nghị cơ quan chủ trì soạn thảo rà soát lấy ý kiến thống nhất của Sở Tài chính về các mức chi và chịu trách nhiệm về các nội dung đề xuất trước khi tham mưu Ủy ban nhân dân Thành phố trình Hội đồng nhân dân Thành phố xem xét, quyết định.</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t>Tiếp thu, rà soát. Sở Văn hóa và Thể thao đã lấy ý kiến Sở Tài chính đối với nguồn tài chính, mức chi và tiếp tục chịu trách nhiệm về nội dung đề xuất trước khi tham mưu Ủy ban nhân dân Thành phố trình Hội đồng nhân dân Thành phố xem xét, quyết định.</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Ngôn ngữ, thể thức, kỹ thuật trình bày</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Tư pháp</w:t>
            </w:r>
            <w:r w:rsidRPr="0017174B">
              <w:rPr>
                <w:rFonts w:cs="Times New Roman"/>
                <w:sz w:val="26"/>
                <w:szCs w:val="26"/>
              </w:rPr>
              <w:br/>
              <w:t>(Công văn số 10056/STP-VB ngày 07/8/2026)</w:t>
            </w:r>
          </w:p>
        </w:tc>
        <w:tc>
          <w:tcPr>
            <w:tcW w:w="5085"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b/>
                <w:sz w:val="26"/>
                <w:szCs w:val="26"/>
              </w:rPr>
              <w:t>c) Về ngôn ngữ, thể thức, kỹ thuật trình bày</w:t>
            </w:r>
          </w:p>
          <w:p w:rsidR="000C2A14" w:rsidRPr="0017174B" w:rsidRDefault="000A5BFF">
            <w:pPr>
              <w:spacing w:after="0" w:line="240" w:lineRule="auto"/>
              <w:jc w:val="both"/>
              <w:rPr>
                <w:rFonts w:cs="Times New Roman"/>
                <w:sz w:val="26"/>
                <w:szCs w:val="26"/>
              </w:rPr>
            </w:pPr>
            <w:r w:rsidRPr="0017174B">
              <w:rPr>
                <w:rFonts w:cs="Times New Roman"/>
                <w:sz w:val="26"/>
                <w:szCs w:val="26"/>
              </w:rPr>
              <w:t>Đề nghị Sở Văn hóa và Thể thao rà soát, điều chỉnh, bổ sung một số nội dung sau:</w:t>
            </w:r>
          </w:p>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 Phần căn cứ pháp lý: Ngày 09/9/2025, Bộ Tư pháp có Văn bản số 5557/BTP-CTXDVBQPPL về việc trả lời phản ánh, kiến nghị về Luật Ban </w:t>
            </w:r>
            <w:r w:rsidRPr="0017174B">
              <w:rPr>
                <w:rFonts w:cs="Times New Roman"/>
                <w:sz w:val="26"/>
                <w:szCs w:val="26"/>
              </w:rPr>
              <w:lastRenderedPageBreak/>
              <w:t>hành văn bản quy phạm pháp luật năm 2025, theo đó: “</w:t>
            </w:r>
            <w:r w:rsidRPr="0017174B">
              <w:rPr>
                <w:rFonts w:cs="Times New Roman"/>
                <w:i/>
                <w:sz w:val="26"/>
                <w:szCs w:val="26"/>
              </w:rPr>
              <w:t xml:space="preserve">Nghị định số 78/2025/NĐ-CP ngày 01/4/2025 của Chính phủ quy định chi tiết một số điều và biện pháp để tổ chức, hướng dẫn thi hành Luật Ban hành văn bản quy phạm pháp luật và Nghị định số 187/2025/NĐ-CP ngày 01/7/2025 của Chính phủ về sửa đổi, bổ sung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một số điều của Nghị định 78/2025/NĐ-CP là căn cứ pháp lý của các văn bản liên quan đến xây dựng, ban hành và tổ chức thi hành văn bản quy phạm pháp luật. … không cần nêu Nghị định số 78/2025/NĐ-CP và Nghị định số </w:t>
            </w:r>
          </w:p>
          <w:p w:rsidR="000C2A14" w:rsidRPr="0017174B" w:rsidRDefault="000A5BFF">
            <w:pPr>
              <w:spacing w:after="0" w:line="240" w:lineRule="auto"/>
              <w:jc w:val="both"/>
              <w:rPr>
                <w:rFonts w:cs="Times New Roman"/>
                <w:sz w:val="26"/>
                <w:szCs w:val="26"/>
              </w:rPr>
            </w:pPr>
            <w:r w:rsidRPr="0017174B">
              <w:rPr>
                <w:rFonts w:cs="Times New Roman"/>
                <w:i/>
                <w:sz w:val="26"/>
                <w:szCs w:val="26"/>
              </w:rPr>
              <w:t>187/2025/NĐ-CP tại phần căn cứ pháp lý</w:t>
            </w:r>
            <w:r w:rsidRPr="0017174B">
              <w:rPr>
                <w:rFonts w:cs="Times New Roman"/>
                <w:sz w:val="26"/>
                <w:szCs w:val="26"/>
              </w:rPr>
              <w:t>”. Do vậy, đề nghị Sở Văn hóa và Thể thao nghiên cứu, chỉnh sửa phần căn cứ pháp lý tại dự thảo Nghị quyết cho phù hợp; cụ thể không sử dụng các căn cứ sau: Luật Ban hành văn bản quy phạm pháp luật số 64/2025/QH15 được sửa đổi, bổ sung bởi Luật số 87/2025/QH15; Nghị định số 78/2025/NĐ-CP và Nghị định số 187/2025/NĐ-CP. Bên cạnh đó, đề nghị cơ quan soạn thảo lược bỏ đường nét liền dưới tên gọi dự thảo Nghị quyết và trình bày các căn cứ pháp lý bằng chữ in nghiêng cho chuẩn xác.</w:t>
            </w:r>
          </w:p>
          <w:p w:rsidR="000C2A14" w:rsidRPr="0017174B" w:rsidRDefault="000A5BFF">
            <w:pPr>
              <w:spacing w:after="0" w:line="240" w:lineRule="auto"/>
              <w:jc w:val="both"/>
              <w:rPr>
                <w:rFonts w:cs="Times New Roman"/>
                <w:sz w:val="26"/>
                <w:szCs w:val="26"/>
              </w:rPr>
            </w:pPr>
            <w:r w:rsidRPr="0017174B">
              <w:rPr>
                <w:rFonts w:cs="Times New Roman"/>
                <w:sz w:val="26"/>
                <w:szCs w:val="26"/>
              </w:rPr>
              <w:t>- Về viện dẫn trong văn bản</w:t>
            </w:r>
          </w:p>
          <w:p w:rsidR="000C2A14" w:rsidRPr="0017174B" w:rsidRDefault="000A5BFF">
            <w:pPr>
              <w:spacing w:after="0" w:line="240" w:lineRule="auto"/>
              <w:jc w:val="both"/>
              <w:rPr>
                <w:rFonts w:cs="Times New Roman"/>
                <w:sz w:val="26"/>
                <w:szCs w:val="26"/>
              </w:rPr>
            </w:pPr>
            <w:r w:rsidRPr="0017174B">
              <w:rPr>
                <w:rFonts w:cs="Times New Roman"/>
                <w:sz w:val="26"/>
                <w:szCs w:val="26"/>
              </w:rPr>
              <w:t>Căn cứ quy định tại khoản 1 Điều 68 Nghị định số 78/2025/NĐ-CP (được sửa đổi, bổ sung bởi Nghị định số 187/2025/NĐ-CP): “…</w:t>
            </w:r>
            <w:r w:rsidRPr="0017174B">
              <w:rPr>
                <w:rFonts w:cs="Times New Roman"/>
                <w:i/>
                <w:sz w:val="26"/>
                <w:szCs w:val="26"/>
              </w:rPr>
              <w:t xml:space="preserve">b) Đối với </w:t>
            </w:r>
            <w:r w:rsidRPr="0017174B">
              <w:rPr>
                <w:rFonts w:cs="Times New Roman"/>
                <w:i/>
                <w:sz w:val="26"/>
                <w:szCs w:val="26"/>
              </w:rPr>
              <w:lastRenderedPageBreak/>
              <w:t>văn bản khác, khi viện dẫn lần đầu phải ghi tên loại văn bản, số, ký hiệu văn bản và tên gọi của văn bản. Đối với văn bản đã được sửa đổi, bổ sung thì ghi thêm sau tên gọi của văn bản cụm từ “được sửa đổi, bổ sung bởi” và tên loại văn bản, số, ký hiệu văn bản; trường hợp được sửa đổi, bổ sung nhiều lần thì từ lần thứ hai trở đi chỉ ghi tên loại văn bản, số, ký hiệu văn bản…</w:t>
            </w:r>
            <w:r w:rsidRPr="0017174B">
              <w:rPr>
                <w:rFonts w:cs="Times New Roman"/>
                <w:sz w:val="26"/>
                <w:szCs w:val="26"/>
              </w:rPr>
              <w:t>”. Đề nghị cơ quan soạn thảo rà soát, chỉnh sửa viện dẫn tại khoản 7 Điều 3 dự thảo Nghị quyết cho phù hợp..</w:t>
            </w:r>
          </w:p>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 Về nơi nhận: Đề nghị chỉnh sửa </w:t>
            </w:r>
            <w:r w:rsidRPr="0017174B">
              <w:rPr>
                <w:rFonts w:cs="Times New Roman"/>
                <w:i/>
                <w:sz w:val="26"/>
                <w:szCs w:val="26"/>
              </w:rPr>
              <w:t xml:space="preserve">“Cục Kiểm tra văn bản và Quản lý xử lý </w:t>
            </w:r>
          </w:p>
          <w:p w:rsidR="000C2A14" w:rsidRPr="0017174B" w:rsidRDefault="000A5BFF" w:rsidP="0017174B">
            <w:pPr>
              <w:spacing w:after="0" w:line="240" w:lineRule="auto"/>
              <w:jc w:val="both"/>
              <w:rPr>
                <w:rFonts w:cs="Times New Roman"/>
                <w:sz w:val="26"/>
                <w:szCs w:val="26"/>
              </w:rPr>
            </w:pPr>
            <w:r w:rsidRPr="0017174B">
              <w:rPr>
                <w:rFonts w:cs="Times New Roman"/>
                <w:i/>
                <w:sz w:val="26"/>
                <w:szCs w:val="26"/>
              </w:rPr>
              <w:t xml:space="preserve">vi phạm hành chính – Bộ Tư pháp” </w:t>
            </w:r>
            <w:r w:rsidRPr="0017174B">
              <w:rPr>
                <w:rFonts w:cs="Times New Roman"/>
                <w:sz w:val="26"/>
                <w:szCs w:val="26"/>
              </w:rPr>
              <w:t>thành</w:t>
            </w:r>
            <w:r w:rsidRPr="0017174B">
              <w:rPr>
                <w:rFonts w:cs="Times New Roman"/>
                <w:i/>
                <w:sz w:val="26"/>
                <w:szCs w:val="26"/>
              </w:rPr>
              <w:t xml:space="preserve">  “Cục Kiểm tra văn bản và Tổ chức thi hành pháp luật– Bộ Tư pháp”.</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lastRenderedPageBreak/>
              <w:t>Tiếp thu.</w:t>
            </w:r>
            <w:r w:rsidRPr="0017174B">
              <w:rPr>
                <w:rFonts w:cs="Times New Roman"/>
                <w:b/>
                <w:sz w:val="26"/>
                <w:szCs w:val="26"/>
              </w:rPr>
              <w:t xml:space="preserve"> </w:t>
            </w:r>
            <w:r w:rsidRPr="0017174B">
              <w:rPr>
                <w:rFonts w:cs="Times New Roman"/>
                <w:sz w:val="26"/>
                <w:szCs w:val="26"/>
              </w:rPr>
              <w:t xml:space="preserve">Rà soát, chỉnh lý phần căn cứ pháp lý tại dự thảo Nghị quyết theo hướng không sử dụng Luật Ban hành văn bản quy phạm pháp luật số </w:t>
            </w:r>
            <w:r w:rsidRPr="0017174B">
              <w:rPr>
                <w:rFonts w:cs="Times New Roman"/>
                <w:sz w:val="26"/>
                <w:szCs w:val="26"/>
              </w:rPr>
              <w:lastRenderedPageBreak/>
              <w:t>64/2025/QH15 được sửa đổi, bổ sung bởi Luật số 87/2025/QH15; Nghị định số 78/2025/NĐ-CP và Nghị định số 187/2025/NĐ-CP làm căn cứ ban hành.</w:t>
            </w: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17174B" w:rsidRDefault="0017174B">
            <w:pPr>
              <w:spacing w:after="0" w:line="240" w:lineRule="auto"/>
              <w:jc w:val="both"/>
              <w:rPr>
                <w:rFonts w:cs="Times New Roman"/>
                <w:b/>
                <w:sz w:val="26"/>
                <w:szCs w:val="26"/>
              </w:rPr>
            </w:pPr>
          </w:p>
          <w:p w:rsidR="000C2A14" w:rsidRPr="0017174B" w:rsidRDefault="000A5BFF">
            <w:pPr>
              <w:spacing w:after="0" w:line="240" w:lineRule="auto"/>
              <w:jc w:val="both"/>
              <w:rPr>
                <w:rFonts w:cs="Times New Roman"/>
                <w:sz w:val="26"/>
                <w:szCs w:val="26"/>
              </w:rPr>
            </w:pPr>
            <w:r w:rsidRPr="0017174B">
              <w:rPr>
                <w:rFonts w:cs="Times New Roman"/>
                <w:sz w:val="26"/>
                <w:szCs w:val="26"/>
              </w:rPr>
              <w:t>Tiếp thu.</w:t>
            </w:r>
            <w:r w:rsidRPr="0017174B">
              <w:rPr>
                <w:rFonts w:cs="Times New Roman"/>
                <w:b/>
                <w:sz w:val="26"/>
                <w:szCs w:val="26"/>
              </w:rPr>
              <w:t xml:space="preserve"> </w:t>
            </w:r>
            <w:r w:rsidRPr="0017174B">
              <w:rPr>
                <w:rFonts w:cs="Times New Roman"/>
                <w:sz w:val="26"/>
                <w:szCs w:val="26"/>
              </w:rPr>
              <w:t xml:space="preserve">Trình bày các căn cứ pháp lý bằng chữ in nghiêng; rà soát, chỉnh lý viện dẫn tại khoản 7 Điều </w:t>
            </w:r>
            <w:r w:rsidRPr="0017174B">
              <w:rPr>
                <w:rFonts w:cs="Times New Roman"/>
                <w:sz w:val="26"/>
                <w:szCs w:val="26"/>
              </w:rPr>
              <w:lastRenderedPageBreak/>
              <w:t>3; chỉnh “Cục Kiểm tra văn bản và Quản lý xử lý vi phạm hành chính - Bộ Tư pháp” thành “Cục Kiểm tra văn bản và Tổ chức thi hành pháp luật - Bộ Tư pháp”; đồng thời rà soát lỗi chính tả, kỹ thuật trình bày trong toàn bộ hồ sơ.</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lastRenderedPageBreak/>
              <w:t>Thể thức, kỹ thuật trình bày</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Nội vụ</w:t>
            </w:r>
            <w:r w:rsidRPr="0017174B">
              <w:rPr>
                <w:rFonts w:cs="Times New Roman"/>
                <w:sz w:val="26"/>
                <w:szCs w:val="26"/>
              </w:rPr>
              <w:br/>
              <w:t>(Công văn số 15774/SNV-TCBC&amp;TCPCP ngày 12/8/2026)</w:t>
            </w:r>
          </w:p>
        </w:tc>
        <w:tc>
          <w:tcPr>
            <w:tcW w:w="5085"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b/>
                <w:sz w:val="26"/>
                <w:szCs w:val="26"/>
              </w:rPr>
              <w:t>1.</w:t>
            </w:r>
            <w:r w:rsidRPr="0017174B">
              <w:rPr>
                <w:rFonts w:cs="Times New Roman"/>
                <w:sz w:val="26"/>
                <w:szCs w:val="26"/>
              </w:rPr>
              <w:t xml:space="preserve"> </w:t>
            </w:r>
            <w:r w:rsidRPr="0017174B">
              <w:rPr>
                <w:rFonts w:cs="Times New Roman"/>
                <w:b/>
                <w:sz w:val="26"/>
                <w:szCs w:val="26"/>
              </w:rPr>
              <w:t>Về thể thức và kỹ thuật trình bày</w:t>
            </w:r>
            <w:r w:rsidRPr="0017174B">
              <w:rPr>
                <w:rFonts w:cs="Times New Roman"/>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Sở Nội vụ đề nghị Sở Văn hóa và Thể thao điều chỉnh đảm bảo thể thức và kỹ thuật trình bày theo Nghị định số 187/2025/NĐ-CP ngày 01 tháng 7 năm 2025 của Chính phủ sửa đổi, bổ sung một số điều của Nghị định số 78/2025/NĐ-CP ngày 01 tháng 4 năm 2025 của Chính phủ quy định chi tiết một số điều và biện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xml:space="preserve">pháp để tổ chức, hướng dẫn thi hành Luật Ban hành văn bản quy phạm pháp luật và Nghị định số 79/2025/NĐ-CP ngày 01 tháng 4 năm 2025 </w:t>
            </w:r>
            <w:r w:rsidRPr="0017174B">
              <w:rPr>
                <w:rFonts w:cs="Times New Roman"/>
                <w:sz w:val="26"/>
                <w:szCs w:val="26"/>
              </w:rPr>
              <w:lastRenderedPageBreak/>
              <w:t xml:space="preserve">của Chính phủ về kiểm tra, rà soát, hệ thống hóa và xử lý văn bản quy phạm pháp luật. </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lastRenderedPageBreak/>
              <w:t>Tiếp thu. Sở Văn hóa và Thể thao rà soát, chỉnh lý thể thức, kỹ thuật trình bày dự thảo Nghị quyết và các tài liệu trong hồ sơ theo Nghị định số 187/2025/NĐ-CP và các văn bản có liên quan.</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lastRenderedPageBreak/>
              <w:t>Cơ sở pháp lý sau sắp xếp đơn vị hành chính</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Nội vụ</w:t>
            </w:r>
            <w:r w:rsidRPr="0017174B">
              <w:rPr>
                <w:rFonts w:cs="Times New Roman"/>
                <w:sz w:val="26"/>
                <w:szCs w:val="26"/>
              </w:rPr>
              <w:br/>
              <w:t>(Công văn số 15774/SNV-TCBC&amp;TCPCP ngày 12/8/2026)</w:t>
            </w:r>
          </w:p>
        </w:tc>
        <w:tc>
          <w:tcPr>
            <w:tcW w:w="5085"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b/>
                <w:sz w:val="26"/>
                <w:szCs w:val="26"/>
              </w:rPr>
              <w:t xml:space="preserve">2. Về nội dung dự thảo Nghị quyết </w:t>
            </w:r>
          </w:p>
          <w:p w:rsidR="000C2A14" w:rsidRPr="0017174B" w:rsidRDefault="000A5BFF">
            <w:pPr>
              <w:spacing w:after="0" w:line="240" w:lineRule="auto"/>
              <w:jc w:val="both"/>
              <w:rPr>
                <w:rFonts w:cs="Times New Roman"/>
                <w:sz w:val="26"/>
                <w:szCs w:val="26"/>
              </w:rPr>
            </w:pPr>
            <w:r w:rsidRPr="0017174B">
              <w:rPr>
                <w:rFonts w:cs="Times New Roman"/>
                <w:sz w:val="26"/>
                <w:szCs w:val="26"/>
              </w:rPr>
              <w:t>Ngày 12 tháng 6 năm 2025, Quốc hội đã ban hành Nghị quyết số 202/2025/QH15 về việc sắp xếp đơn vị hành chính cấp tỉnh; tại khoản 16 Điều 1 Nghị quyết số 202/2025/QH15 quy định như sau:</w:t>
            </w:r>
            <w:r w:rsidRPr="0017174B">
              <w:rPr>
                <w:rFonts w:cs="Times New Roman"/>
                <w:b/>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“Điều 1. Sắp xếp các đơn vị hành chính cấp tỉnh </w:t>
            </w:r>
          </w:p>
          <w:p w:rsidR="000C2A14" w:rsidRPr="0017174B" w:rsidRDefault="000A5BFF">
            <w:pPr>
              <w:spacing w:after="0" w:line="240" w:lineRule="auto"/>
              <w:jc w:val="both"/>
              <w:rPr>
                <w:rFonts w:cs="Times New Roman"/>
                <w:sz w:val="26"/>
                <w:szCs w:val="26"/>
              </w:rPr>
            </w:pPr>
            <w:r w:rsidRPr="0017174B">
              <w:rPr>
                <w:rFonts w:cs="Times New Roman"/>
                <w:i/>
                <w:sz w:val="26"/>
                <w:szCs w:val="26"/>
              </w:rPr>
              <w:t>...16. Sắp xếp toàn bộ diện tích tự nhiên, quy mô dân số của Thành phố  Hồ Chí Minh, tỉnh Bà Rịa - Vũng Tàu và tỉnh Bình Dương thành thành phố mới có tên gọi là Thành phố Hồ Chí Minh... .”</w:t>
            </w:r>
            <w:r w:rsidRPr="0017174B">
              <w:rPr>
                <w:rFonts w:cs="Times New Roman"/>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Căn cứ khoản 2, 3 Điều 2 Nghị quyết số 202/2025/QH15 quy định: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“2.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3. Chính quyền địa phương ở các tỉnh, thành phố trước sắp xếp tiếp tục hoạt động cho đến khi chính quyền địa phương ở tỉnh, thành phố hình thành sau sắp xếp chính thức hoạt động.”. </w:t>
            </w:r>
          </w:p>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Căn cứ điểm b khoản 2 Điều 54 Luật Ban hành văn bản quy phạm pháp luật năm 2025 (được </w:t>
            </w:r>
            <w:r w:rsidRPr="0017174B">
              <w:rPr>
                <w:rFonts w:cs="Times New Roman"/>
                <w:sz w:val="26"/>
                <w:szCs w:val="26"/>
              </w:rPr>
              <w:lastRenderedPageBreak/>
              <w:t>sửa đổi, bổ sung bởi khoản 20 Điều 1 Luật sửa đổi, bổ sung một số điều của Luật Ban hành văn bản quy phạm pháp luật) quy định về hiệu lực không gian của văn bản quy phạm pháp luật như sau:</w:t>
            </w:r>
            <w:r w:rsidRPr="0017174B">
              <w:rPr>
                <w:rFonts w:cs="Times New Roman"/>
                <w:i/>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i/>
                <w:sz w:val="26"/>
                <w:szCs w:val="26"/>
              </w:rPr>
              <w:t>b) Trường hợp nhiều đơn vị hành ch</w:t>
            </w:r>
            <w:r w:rsidR="0017174B">
              <w:rPr>
                <w:rFonts w:cs="Times New Roman"/>
                <w:i/>
                <w:sz w:val="26"/>
                <w:szCs w:val="26"/>
              </w:rPr>
              <w:t xml:space="preserve">ính được nhập thành một đơn vị </w:t>
            </w:r>
            <w:r w:rsidRPr="0017174B">
              <w:rPr>
                <w:rFonts w:cs="Times New Roman"/>
                <w:i/>
                <w:sz w:val="26"/>
                <w:szCs w:val="26"/>
              </w:rPr>
              <w:t xml:space="preserve">hành chính mới cùng cấp thì văn bản quy phạm pháp luật của Hội đồng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chính mới ban hành văn bản hành chính để quyết định việc áp dụng hoặc bãi bỏ văn bản quy phạm pháp luật của Hội đồng nhân dân, Ủy ban nhân dân, Chủ tịch Ủy ban nhân dân của </w:t>
            </w:r>
            <w:r w:rsidRPr="0017174B">
              <w:rPr>
                <w:rFonts w:cs="Times New Roman"/>
                <w:i/>
                <w:sz w:val="26"/>
                <w:szCs w:val="26"/>
              </w:rPr>
              <w:lastRenderedPageBreak/>
              <w:t xml:space="preserve">đơn vị hành chính được nhập hoặc </w:t>
            </w:r>
            <w:r w:rsidRPr="0017174B">
              <w:rPr>
                <w:rFonts w:cs="Times New Roman"/>
                <w:b/>
                <w:i/>
                <w:sz w:val="26"/>
                <w:szCs w:val="26"/>
              </w:rPr>
              <w:t>ban hành văn bản quy phạm pháp luật mới</w:t>
            </w:r>
            <w:r w:rsidRPr="0017174B">
              <w:rPr>
                <w:rFonts w:cs="Times New Roman"/>
                <w:i/>
                <w:sz w:val="26"/>
                <w:szCs w:val="26"/>
              </w:rPr>
              <w:t xml:space="preserve">;”.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Căn cứ các quy định nêu trên, Sở Nội vụ nhận thấy việc Sở Văn hóa và Thể thao tham mưu Hội đồng nhân dân Thành phố Hồ Chí Minh (mới) ban hành Nghị quyết</w:t>
            </w:r>
            <w:r w:rsidRPr="0017174B">
              <w:rPr>
                <w:rFonts w:cs="Times New Roman"/>
                <w:b/>
                <w:sz w:val="26"/>
                <w:szCs w:val="26"/>
              </w:rPr>
              <w:t xml:space="preserve"> </w:t>
            </w:r>
            <w:r w:rsidRPr="0017174B">
              <w:rPr>
                <w:rFonts w:cs="Times New Roman"/>
                <w:sz w:val="26"/>
                <w:szCs w:val="26"/>
              </w:rPr>
              <w:t xml:space="preserve">mới thay thế các Nghị quyết Hội đồng nhân dân Thành phố Hồ Chí Minh, tỉnh Bình Dương, tỉnh Bà Rịa - Vũng Tàu trước sắp xếp (đơn vị hành chính được nhập) là phù hợp quy định. </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lastRenderedPageBreak/>
              <w:t>Tiếp thu, ghi nhận. Ý kiến của Sở Nội vụ thống nhất về việc tham mưu Hội đồng nhân dân Thành phố Hồ Chí Minh sau sắp xếp ban hành Nghị quyết mới thay thế các nghị quyết của Hội đồng nhân dân Thành phố Hồ Chí Minh, tỉnh Bình Dương, tỉnh Bà Rịa - Vũng Tàu trước sắp xếp. Nội dung này được cập nhật, bổ sung tại phần cơ sở chính trị, pháp lý và thực tiễn của dự thảo Tờ trình.</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lastRenderedPageBreak/>
              <w:t>Phân cấp, nhiệm vụ được phân cấp và nguồn nhân lực</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Nội vụ</w:t>
            </w:r>
            <w:r w:rsidRPr="0017174B">
              <w:rPr>
                <w:rFonts w:cs="Times New Roman"/>
                <w:sz w:val="26"/>
                <w:szCs w:val="26"/>
              </w:rPr>
              <w:br/>
              <w:t>(Công văn số 15774/SNV-TCBC&amp;TCPCP ngày 12/8/2026)</w:t>
            </w:r>
          </w:p>
        </w:tc>
        <w:tc>
          <w:tcPr>
            <w:tcW w:w="5085"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b/>
                <w:sz w:val="26"/>
                <w:szCs w:val="26"/>
              </w:rPr>
              <w:t>3.</w:t>
            </w:r>
            <w:r w:rsidRPr="0017174B">
              <w:rPr>
                <w:rFonts w:cs="Times New Roman"/>
                <w:sz w:val="26"/>
                <w:szCs w:val="26"/>
              </w:rPr>
              <w:t xml:space="preserve"> Về thẩm quyền của Sở Nội vụ </w:t>
            </w:r>
          </w:p>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Căn cứ điểm b khoản 25 Điều 1 Nghị định số 187/2025/NĐ-CP ngày 01 tháng 7 năm 2025 của Chính phủ quy định: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“Điều 1.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25. Sửa đổi, bổ sung một số điểm, khoản của Điều 44 như sau: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b) Sửa đổi, bổ sung khoản 2 như sau: </w:t>
            </w:r>
          </w:p>
          <w:p w:rsidR="000C2A14" w:rsidRPr="0017174B" w:rsidRDefault="000A5BFF">
            <w:pPr>
              <w:spacing w:after="0" w:line="240" w:lineRule="auto"/>
              <w:jc w:val="both"/>
              <w:rPr>
                <w:rFonts w:cs="Times New Roman"/>
                <w:sz w:val="26"/>
                <w:szCs w:val="26"/>
              </w:rPr>
            </w:pPr>
            <w:r w:rsidRPr="0017174B">
              <w:rPr>
                <w:rFonts w:cs="Times New Roman"/>
                <w:i/>
                <w:sz w:val="26"/>
                <w:szCs w:val="26"/>
              </w:rPr>
              <w:t xml:space="preserve">“2. Các cơ quan, tổ chức có trách nhiệm trả lời bằng văn bản … .  Trong đó, Sở Tài chính có ý kiến về nguồn tài chính; Sở Nội vụ có ý kiến về </w:t>
            </w:r>
            <w:r w:rsidRPr="0017174B">
              <w:rPr>
                <w:rFonts w:cs="Times New Roman"/>
                <w:i/>
                <w:sz w:val="26"/>
                <w:szCs w:val="26"/>
              </w:rPr>
              <w:lastRenderedPageBreak/>
              <w:t xml:space="preserve">việc phân cấp, thực hiện nhiệm vụ, quyền hạn được phân cấp và nguồn nhân lực;  </w:t>
            </w:r>
          </w:p>
          <w:p w:rsidR="000C2A14" w:rsidRPr="0017174B" w:rsidRDefault="000A5BFF">
            <w:pPr>
              <w:spacing w:after="0" w:line="240" w:lineRule="auto"/>
              <w:jc w:val="both"/>
              <w:rPr>
                <w:rFonts w:cs="Times New Roman"/>
                <w:sz w:val="26"/>
                <w:szCs w:val="26"/>
              </w:rPr>
            </w:pPr>
            <w:r w:rsidRPr="0017174B">
              <w:rPr>
                <w:rFonts w:cs="Times New Roman"/>
                <w:i/>
                <w:sz w:val="26"/>
                <w:szCs w:val="26"/>
              </w:rPr>
              <w:t>Sở Tư pháp có ý kiến về tính hợp hiến, tính hợp pháp và tính thống nhất với hệ thống pháp luật; Sở Khoa học và Công nghệ có ý kiến về việc ứng dụng, thúc đẩy phát triển khoa học, công nghệ, đổi mới sáng tạo và chuyển đổi số.”;”</w:t>
            </w:r>
            <w:r w:rsidRPr="0017174B">
              <w:rPr>
                <w:rFonts w:cs="Times New Roman"/>
                <w:sz w:val="26"/>
                <w:szCs w:val="26"/>
              </w:rPr>
              <w:t xml:space="preserve">.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Căn cứ dự thảo Nghị quyết kèm</w:t>
            </w:r>
            <w:r w:rsidR="0017174B">
              <w:rPr>
                <w:rFonts w:cs="Times New Roman"/>
                <w:sz w:val="26"/>
                <w:szCs w:val="26"/>
              </w:rPr>
              <w:t xml:space="preserve"> Công văn số 10202/SVHTT-DSVH, </w:t>
            </w:r>
            <w:r w:rsidRPr="0017174B">
              <w:rPr>
                <w:rFonts w:cs="Times New Roman"/>
                <w:sz w:val="26"/>
                <w:szCs w:val="26"/>
              </w:rPr>
              <w:t xml:space="preserve">Sở Văn hóa và Thể thao đã xác định trách nhiệm của các cơ quan, đơn vị (nguồn nhân lực) thực hiện Nghị quyết, không có nội dung phân cấp và thực hiện nhiệm vụ, quyền hạn được phân cấp. Do đó, Sở Nội vụ không có ý kiến góp ý theo thẩm quyền được quy định. </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lastRenderedPageBreak/>
              <w:t>Ghi nhận.</w:t>
            </w:r>
            <w:r w:rsidRPr="0017174B">
              <w:rPr>
                <w:rFonts w:cs="Times New Roman"/>
                <w:b/>
                <w:sz w:val="26"/>
                <w:szCs w:val="26"/>
              </w:rPr>
              <w:t xml:space="preserve"> </w:t>
            </w:r>
            <w:r w:rsidRPr="0017174B">
              <w:rPr>
                <w:rFonts w:cs="Times New Roman"/>
                <w:sz w:val="26"/>
                <w:szCs w:val="26"/>
              </w:rPr>
              <w:t>Dự thảo Nghị quyết xác định trách nhiệm tổ chức thực hiện, không đặt ra nội dung phân cấp, thực hiện nhiệm vụ, quyền hạn được phân cấp và không phát sinh yêu cầu riêng về nguồn nhân lực; do đó không điều chỉnh, bổ sung nội dung về phân cấp và nguồn nhân lực trong dự thảo Nghị quyết.</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lastRenderedPageBreak/>
              <w:t>Ứng dụng, thúc đẩy khoa học, công nghệ, đổi mới sáng tạo và chuyển đổi số</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Khoa học và Công nghệ</w:t>
            </w:r>
            <w:r w:rsidRPr="0017174B">
              <w:rPr>
                <w:rFonts w:cs="Times New Roman"/>
                <w:sz w:val="26"/>
                <w:szCs w:val="26"/>
              </w:rPr>
              <w:br/>
              <w:t>(Công văn số 7958/SKHCN-KTPC ngày 12/8/2026)</w:t>
            </w:r>
          </w:p>
        </w:tc>
        <w:tc>
          <w:tcPr>
            <w:tcW w:w="5085"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t xml:space="preserve">1. Tại dự thảo hồ sơ của Sở Văn hóa và Thể thao không đề cập đến việc Nghị quyết có quy định liên quan đến ứng dụng, thúc đẩy phát triển khoa học, công nghệ, đổi mới sáng tạo và chuyển đổi số; dự thảo hồ sơ không có Bản đánh </w:t>
            </w:r>
          </w:p>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 xml:space="preserve">giá việc ứng dụng, thúc đẩy phát triển khoa học, công nghệ, đổi mới sáng tạo và chuyển đổi số đính kèm. Do đó, Sở Khoa học và Công nghệ chưa có cơ sở có ý kiến đối với nội dung này. Trường hợp, Sở Văn hóa và Thể thao xác định dự thảo Nghị quyết có quy định nội dung liên quan đến ứng dụng, thúc đẩy phát triển khoa học, công nghệ, đổi mới sáng tạo và chuyển đổi </w:t>
            </w:r>
            <w:r w:rsidRPr="0017174B">
              <w:rPr>
                <w:rFonts w:cs="Times New Roman"/>
                <w:sz w:val="26"/>
                <w:szCs w:val="26"/>
              </w:rPr>
              <w:lastRenderedPageBreak/>
              <w:t>số, đề nghị Sở Văn hóa và Thể thao bổ sung Bản đánh giá theo mẫu số 06-Phụ lục IV ban hành kèm theo Nghị định số 187/2025/NĐ-CP gửi về Sở Khoa học và Công nghệ có ý kiến theo quy định.</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lastRenderedPageBreak/>
              <w:t>Ghi nhận.</w:t>
            </w:r>
            <w:r w:rsidRPr="0017174B">
              <w:rPr>
                <w:rFonts w:cs="Times New Roman"/>
                <w:b/>
                <w:sz w:val="26"/>
                <w:szCs w:val="26"/>
              </w:rPr>
              <w:t xml:space="preserve"> </w:t>
            </w:r>
            <w:r w:rsidRPr="0017174B">
              <w:rPr>
                <w:rFonts w:cs="Times New Roman"/>
                <w:sz w:val="26"/>
                <w:szCs w:val="26"/>
              </w:rPr>
              <w:t xml:space="preserve">Dự thảo Nghị quyết chỉ quy định mức chi và việc sử dụng kinh phí thực hiện công tác thăm dò, khai quật khảo cổ từ nguồn ngân sách nhà nước; không quy định nội dung liên quan đến ứng dụng, thúc đẩy phát triển khoa học, công nghệ, đổi mới sáng tạo và chuyển đổi số. Vì vậy, không phát sinh Bản đánh giá theo Mẫu số </w:t>
            </w:r>
            <w:r w:rsidRPr="0017174B">
              <w:rPr>
                <w:rFonts w:cs="Times New Roman"/>
                <w:sz w:val="26"/>
                <w:szCs w:val="26"/>
              </w:rPr>
              <w:lastRenderedPageBreak/>
              <w:t>06 Phụ lục IV ban hành kèm theo Nghị định số 187/2025/NĐ-CP. Trường hợp cơ quan có thẩm quyền xác định dự thảo có nội dung liên quan đến lĩnh vực này, Sở Văn hóa và Thể thao sẽ bổ sung Bản đánh giá và gửi Sở Khoa học và Công nghệ có ý kiến theo quy định.</w:t>
            </w:r>
          </w:p>
        </w:tc>
      </w:tr>
      <w:tr w:rsidR="000C2A14" w:rsidRPr="0017174B" w:rsidTr="0017174B">
        <w:tc>
          <w:tcPr>
            <w:tcW w:w="2313"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lastRenderedPageBreak/>
              <w:t>Cơ sở tham mưu, đề xuất hồ sơ</w:t>
            </w:r>
          </w:p>
        </w:tc>
        <w:tc>
          <w:tcPr>
            <w:tcW w:w="3674" w:type="dxa"/>
            <w:tcMar>
              <w:top w:w="80" w:type="dxa"/>
              <w:left w:w="80" w:type="dxa"/>
              <w:bottom w:w="80" w:type="dxa"/>
              <w:right w:w="80" w:type="dxa"/>
            </w:tcMar>
          </w:tcPr>
          <w:p w:rsidR="000C2A14" w:rsidRPr="0017174B" w:rsidRDefault="000A5BFF">
            <w:pPr>
              <w:spacing w:after="0" w:line="240" w:lineRule="auto"/>
              <w:jc w:val="center"/>
              <w:rPr>
                <w:rFonts w:cs="Times New Roman"/>
                <w:sz w:val="26"/>
                <w:szCs w:val="26"/>
              </w:rPr>
            </w:pPr>
            <w:r w:rsidRPr="0017174B">
              <w:rPr>
                <w:rFonts w:cs="Times New Roman"/>
                <w:sz w:val="26"/>
                <w:szCs w:val="26"/>
              </w:rPr>
              <w:t>Sở Khoa học và Công nghệ</w:t>
            </w:r>
            <w:r w:rsidRPr="0017174B">
              <w:rPr>
                <w:rFonts w:cs="Times New Roman"/>
                <w:sz w:val="26"/>
                <w:szCs w:val="26"/>
              </w:rPr>
              <w:br/>
              <w:t>(Công văn số 7958/SKHCN-KTPC ngày 12/8/2026)</w:t>
            </w:r>
          </w:p>
        </w:tc>
        <w:tc>
          <w:tcPr>
            <w:tcW w:w="5085" w:type="dxa"/>
            <w:tcMar>
              <w:top w:w="80" w:type="dxa"/>
              <w:left w:w="80" w:type="dxa"/>
              <w:bottom w:w="80" w:type="dxa"/>
              <w:right w:w="80" w:type="dxa"/>
            </w:tcMar>
          </w:tcPr>
          <w:p w:rsidR="000C2A14" w:rsidRPr="0017174B" w:rsidRDefault="000A5BFF" w:rsidP="0017174B">
            <w:pPr>
              <w:spacing w:after="0" w:line="240" w:lineRule="auto"/>
              <w:jc w:val="both"/>
              <w:rPr>
                <w:rFonts w:cs="Times New Roman"/>
                <w:sz w:val="26"/>
                <w:szCs w:val="26"/>
              </w:rPr>
            </w:pPr>
            <w:r w:rsidRPr="0017174B">
              <w:rPr>
                <w:rFonts w:cs="Times New Roman"/>
                <w:sz w:val="26"/>
                <w:szCs w:val="26"/>
              </w:rPr>
              <w:t>2. Việc phân tích, đánh giá, cơ sở tham mưu đề xuất hồ sơ xây dựng Nghị quyết của Hội đồng nhân dân Thành phố quy định mức chi và việc sử dụng kinh phí thực hiện công tác thăm dò, khai quật khảo cổ từ nguồn ngân sách nhà nước trên địa bàn Thành phố Hồ Chí Minh thuộc chức năng quản lý chuyên ngành của Sở Văn hóa và Thể thao. Do đó, đề nghị Sở Văn hóa và Thể thao phối hợp với các cơ quan có liên quan tham mưu Nghị quyết phù hợp với tình hình thực tiễn của Thành phố và quy định của pháp luật.</w:t>
            </w:r>
          </w:p>
        </w:tc>
        <w:tc>
          <w:tcPr>
            <w:tcW w:w="2957" w:type="dxa"/>
            <w:tcMar>
              <w:top w:w="80" w:type="dxa"/>
              <w:left w:w="80" w:type="dxa"/>
              <w:bottom w:w="80" w:type="dxa"/>
              <w:right w:w="80" w:type="dxa"/>
            </w:tcMar>
          </w:tcPr>
          <w:p w:rsidR="000C2A14" w:rsidRPr="0017174B" w:rsidRDefault="000A5BFF">
            <w:pPr>
              <w:spacing w:after="0" w:line="240" w:lineRule="auto"/>
              <w:jc w:val="both"/>
              <w:rPr>
                <w:rFonts w:cs="Times New Roman"/>
                <w:sz w:val="26"/>
                <w:szCs w:val="26"/>
              </w:rPr>
            </w:pPr>
            <w:r w:rsidRPr="0017174B">
              <w:rPr>
                <w:rFonts w:cs="Times New Roman"/>
                <w:sz w:val="26"/>
                <w:szCs w:val="26"/>
              </w:rPr>
              <w:t>Ghi nhận.</w:t>
            </w:r>
            <w:r w:rsidRPr="0017174B">
              <w:rPr>
                <w:rFonts w:cs="Times New Roman"/>
                <w:b/>
                <w:sz w:val="26"/>
                <w:szCs w:val="26"/>
              </w:rPr>
              <w:t xml:space="preserve"> </w:t>
            </w:r>
            <w:r w:rsidRPr="0017174B">
              <w:rPr>
                <w:rFonts w:cs="Times New Roman"/>
                <w:sz w:val="26"/>
                <w:szCs w:val="26"/>
              </w:rPr>
              <w:t>Việc phân tích, đánh giá và cơ sở tham mưu đề xuất hồ sơ xây dựng Nghị quyết thuộc chức năng quản lý chuyên ngành của Sở Văn hóa và Thể thao; Sở Văn hóa và Thể thao tiếp tục phối hợp với các cơ quan có liên quan để tham mưu dự thảo Nghị quyết phù hợp tình hình thực tiễn của Thành phố và quy định của pháp luật.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Dự thảo Tờ trình - Cơ sở chính trị, pháp lý và thực tiễn</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Trung tâm Bảo tồn di tích</w:t>
            </w:r>
            <w:r w:rsidRPr="0017174B">
              <w:rPr>
                <w:rFonts w:cs="Times New Roman"/>
                <w:sz w:val="26"/>
                <w:szCs w:val="26"/>
              </w:rPr>
              <w:br/>
              <w:t>(Công văn số 317/TTBTDT-LHS ngày 03/8/2026)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bổ sung Nghị quyết số 202/2025/QH15 ngày 12/6/2025 của Quốc hội về việc sắp xếp đơn vị hành chính cấp tỉnh vào phần cơ sở thực tiễn của dự thảo Tờ trình.</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Nội dung này là căn cứ trực tiếp xác lập Thành phố Hồ Chí Minh sau sắp xếp; sẽ bổ sung, cập nhật tại phần cơ sở chính trị, pháp lý và thực tiễn của dự thảo Tờ trình. Không làm thay đổi nội dung dự thảo Nghị quyết.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Dự thảo Tờ trình - Cơ sở thực tiễn</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Bảo tàng - Thư viện tỉnh Bà Rịa - Vũng Tàu</w:t>
            </w:r>
            <w:r w:rsidRPr="0017174B">
              <w:rPr>
                <w:rFonts w:cs="Times New Roman"/>
                <w:sz w:val="26"/>
                <w:szCs w:val="26"/>
              </w:rPr>
              <w:br/>
              <w:t>(Công văn số 960/BTTV-NVBT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rà soát thông tin về Di tích khảo cổ Vòng thành Đá Trắng; công tác thăm dò, khai quật đã hoàn thành năm 2023, hiện đang lập hồ sơ khoa học đề nghị xếp hạng di tích.</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Sẽ chỉnh lý phần cơ sở thực tiễn của dự thảo Tờ trình theo đúng tình trạng hiện nay; không tiếp tục diễn đạt đây là địa điểm đang thực hiện thăm dò, khai quật. Không làm thay đổi dự thảo Nghị quyết.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 Mức chi</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Trung tâm Nghiên cứu Lịch sử và Khảo cổ - Viện Khoa học xã hội vùng Nam Bộ</w:t>
            </w:r>
            <w:r w:rsidRPr="0017174B">
              <w:rPr>
                <w:rFonts w:cs="Times New Roman"/>
                <w:sz w:val="26"/>
                <w:szCs w:val="26"/>
              </w:rPr>
              <w:br/>
              <w:t>(Văn bản ngày 05/8/2026)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Thành phố cân nhắc điều chỉnh tăng các mức chi vì định mức tại Thông tư số 67/2019/TT-BTC được ban hành từ năm 2019, chưa theo kịp biến động tiền lương, giá cả và yêu cầu thực tiễn.</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Ghi nhận, không tiếp thu để điều chỉnh tăng mức chi trong dự thảo lần này. Dự thảo được xây dựng trên cơ sở mức chi, khung chi tại Thông tư số 67/2019/TT-BTC và kế thừa các nghị quyết hiện hành; việc đề xuất mức cao hơn cần có cơ sở pháp lý, đánh giá tác </w:t>
            </w:r>
            <w:r w:rsidRPr="0017174B">
              <w:rPr>
                <w:rFonts w:cs="Times New Roman"/>
                <w:sz w:val="26"/>
                <w:szCs w:val="26"/>
              </w:rPr>
              <w:lastRenderedPageBreak/>
              <w:t>động ngân sách và ý kiến chuyên ngành tài chính đầy đủ. Ý kiến được lưu để nghiên cứu khi cơ quan trung ương sửa đổi định mức hoặc khi có đủ cơ sở xây dựng chính sách mới.</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6 - Điều khoản thi hành</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Ban Thường trực Ủy ban Mặt trận Tổ quốc Việt Nam Thành phố</w:t>
            </w:r>
            <w:r w:rsidRPr="0017174B">
              <w:rPr>
                <w:rFonts w:cs="Times New Roman"/>
                <w:sz w:val="26"/>
                <w:szCs w:val="26"/>
              </w:rPr>
              <w:br/>
              <w:t>(Công văn số 1768/MTTQ-BTT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bổ sung quy định chuyển tiếp đối với dự án, nhiệm vụ thăm dò, khai quật khảo cổ đã được phê duyệt dự toán và đang triển khai trước ngày Nghị quyết có hiệu lực.</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Bổ sung khoản 3 Điều 6 để bảo đảm không làm gián đoạn việc thực hiện dự toán, hợp đồng đã được phê duyệt, ký kết; trường hợp điều chỉnh dự toán sau ngày Nghị quyết có hiệu lực thì thực hiện theo Nghị quyết mới, trừ trường hợp pháp luật có quy định khác.</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4 khoản 3 - Nguồn kinh phí ngoài ngân sách nhà nước</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Ban Thường trực Ủy ban Mặt trận Tổ quốc Việt Nam Thành phố</w:t>
            </w:r>
            <w:r w:rsidRPr="0017174B">
              <w:rPr>
                <w:rFonts w:cs="Times New Roman"/>
                <w:sz w:val="26"/>
                <w:szCs w:val="26"/>
              </w:rPr>
              <w:br/>
              <w:t>(Công văn số 1768/MTTQ-BTT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nghiên cứu hướng dẫn cụ thể quy trình tiếp nhận, quản lý và sử dụng nguồn tài trợ, xã hội hóa tại khoản 3 Điều 4.</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Ghi nhận, không bổ sung vào Nghị quyết. Khoản 2 Điều 1 và khoản 3 Điều 4 đã xác định nguyên tắc áp dụng đối với nguồn viện trợ, hỗ trợ, xã hội hóa; quy trình tiếp nhận, quản lý, sử dụng từng nguồn vốn thực hiện theo pháp luật về ngân </w:t>
            </w:r>
            <w:r w:rsidRPr="0017174B">
              <w:rPr>
                <w:rFonts w:cs="Times New Roman"/>
                <w:sz w:val="26"/>
                <w:szCs w:val="26"/>
              </w:rPr>
              <w:lastRenderedPageBreak/>
              <w:t>sách, viện trợ, tài trợ và quy định có liên quan. Nội dung hướng dẫn chi tiết, nếu cần, được thực hiện trong quá trình tổ chức thi hành, không thuộc phạm vi một nghị quyết quy định mức chi.</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Phần căn cứ ban hành dự thảo Nghị quyết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Long Trường</w:t>
            </w:r>
            <w:r w:rsidRPr="0017174B">
              <w:rPr>
                <w:rFonts w:cs="Times New Roman"/>
                <w:sz w:val="26"/>
                <w:szCs w:val="26"/>
              </w:rPr>
              <w:br/>
              <w:t>(Công văn số 1700/UBND-VHXH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Bổ sung ngày, tháng, năm ban hành đối với các luật, Nghị định số 78/2025/NĐ-CP và Thông tư số 67/2019/TT-BTC.</w:t>
            </w:r>
          </w:p>
        </w:tc>
        <w:tc>
          <w:tcPr>
            <w:tcW w:w="2957" w:type="dxa"/>
            <w:tcMar>
              <w:top w:w="80" w:type="dxa"/>
              <w:left w:w="80" w:type="dxa"/>
              <w:bottom w:w="80" w:type="dxa"/>
              <w:right w:w="80" w:type="dxa"/>
            </w:tcMar>
          </w:tcPr>
          <w:p w:rsidR="00F411BD" w:rsidRPr="0017174B" w:rsidRDefault="00831A81" w:rsidP="00F411BD">
            <w:pPr>
              <w:spacing w:after="0" w:line="240" w:lineRule="auto"/>
              <w:jc w:val="both"/>
              <w:rPr>
                <w:rFonts w:cs="Times New Roman"/>
                <w:sz w:val="26"/>
                <w:szCs w:val="26"/>
              </w:rPr>
            </w:pPr>
            <w:r w:rsidRPr="00831A81">
              <w:rPr>
                <w:rFonts w:cs="Times New Roman"/>
                <w:sz w:val="26"/>
                <w:szCs w:val="26"/>
              </w:rPr>
              <w:t>Tiếp thu về nguyên tắc rà soát, hoàn thiện thông tin viện dẫn văn bản. Sau khi tiếp thu ý kiến của Sở Tư pháp, dự thảo Nghị quyết không sử dụng Luật Ban hành văn bản quy phạm pháp luật, Nghị định số 78/2025/NĐ-CP và Nghị định số 187/2025/NĐ-CP tại phần căn cứ ban hành; đồng thời rà soát, bổ sung đầy đủ thông tin đối với các văn bản còn được sử dụng làm căn cứ và viện dẫn trong dự thảo Nghị quyết.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3 khoản 1 - Chi thù lao cho cán bộ khoa học, kỹ thuật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Long Trường</w:t>
            </w:r>
            <w:r w:rsidRPr="0017174B">
              <w:rPr>
                <w:rFonts w:cs="Times New Roman"/>
                <w:sz w:val="26"/>
                <w:szCs w:val="26"/>
              </w:rPr>
              <w:br/>
              <w:t>(Công văn số 1700/UBND-VHXH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Tại khoản 1 Điều 3, thống nhất thuật ngữ “thù lao” hoặc “bồi dưỡng”; hiện đang dùng đồng thời hai thuật ngữ.</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việc chỉnh thống nhất toàn bộ thành thuật ngữ “thù lao”. Dự thảo giữ cách diễn đạt đang được kế thừa tại Nghị quyết số 10/2021/NQ-HĐND: tên khoản chi là “Chi thù lao cho cán bộ khoa học, kỹ thuật”, nhưng số ngày làm căn cứ thanh toán là “chi bồi dưỡng” và “mức chi bồi dưỡng”. Không chỉnh cụm “dự toán được Ủy ban nhân dân Thành phố phê duyệt” thành “dự toán được cấp có thẩm quyền phê duyệt” để bảo đảm bám sát nội dung đang được kế thừa.</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4 - Chi thuê khoán nhân công, bảo vệ công trường và kho tạm</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Long Trường</w:t>
            </w:r>
            <w:r w:rsidRPr="0017174B">
              <w:rPr>
                <w:rFonts w:cs="Times New Roman"/>
                <w:sz w:val="26"/>
                <w:szCs w:val="26"/>
              </w:rPr>
              <w:br/>
              <w:t>(Công văn số 1700/UBND-VHXH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Tại khoản 4 Điều 3, sửa “24/24h” thành “24/24 giờ” và diễn đạt rõ mức 350.000 đồng/người/ngày.</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tiếp thu việc diễn đạt mức 350.000 đồng/ngày/người là mức tối đa hoặc bổ sung thêm căn cứ tính chi tiết trong Nghị quyết. Dự thảo giữ nguyên cách quy định theo Nghị quyết số 10/2021/NQ-HĐND: “chi </w:t>
            </w:r>
            <w:r w:rsidRPr="0017174B">
              <w:rPr>
                <w:rFonts w:cs="Times New Roman"/>
                <w:sz w:val="26"/>
                <w:szCs w:val="26"/>
              </w:rPr>
              <w:lastRenderedPageBreak/>
              <w:t>theo hợp đồng thỏa thuận theo mức giá thuê khoán nhân công trên địa bàn; mức chi 350.000 đồng/ngày/người”. Việc xác định khối lượng, thời gian thực hiện, bảo vệ công trường và kho tạm thực hiện trong dự toán, hợp đồng và hồ sơ nhiệm vụ cụ thể.</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3 khoản 6 điểm b - Chi chụp ảnh di tích, di vật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Long Trường</w:t>
            </w:r>
            <w:r w:rsidRPr="0017174B">
              <w:rPr>
                <w:rFonts w:cs="Times New Roman"/>
                <w:sz w:val="26"/>
                <w:szCs w:val="26"/>
              </w:rPr>
              <w:br/>
              <w:t>(Công văn số 1700/UBND-VHXH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Tại điểm b khoản 6 Điều 3, sửa “chi chụp ảnh chụp di tích và di vật” thành “chi chụp ảnh di tích và di vật”.</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Dự thảo giữ nguyên cụm “Chi chụp ảnh chụp di tích và di vật” và “ảnh cỡ 9x12” theo cách diễn đạt đang được kế thừa tại Nghị quyết số 10/2021/NQ-HĐND; không tự ý sửa tên gọi chuyên môn và không bổ sung đơn vị “cm” vào nội dung mức chi.</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7 - Dẫn chiếu các khoản chi còn lại theo Thông tư số 67/2019/TT-BTC</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Long Trường</w:t>
            </w:r>
            <w:r w:rsidRPr="0017174B">
              <w:rPr>
                <w:rFonts w:cs="Times New Roman"/>
                <w:sz w:val="26"/>
                <w:szCs w:val="26"/>
              </w:rPr>
              <w:br/>
              <w:t>(Công văn số 1700/UBND-VHXH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Tại khoản 7 Điều 3, sửa cách dẫn chiếu thành “tại các khoản 7, 8, 9, 10 và 11 Điều 4”.</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chỉnh lý kỹ thuật dẫn chiếu.</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Thể thức, kỹ thuật trình bày</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Long Trường</w:t>
            </w:r>
            <w:r w:rsidRPr="0017174B">
              <w:rPr>
                <w:rFonts w:cs="Times New Roman"/>
                <w:sz w:val="26"/>
                <w:szCs w:val="26"/>
              </w:rPr>
              <w:br/>
              <w:t>(Công văn số 1700/UBND-VHXH ngày 29/7/2026)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Rà soát lỗi chính tả tại phần Nơi nhận, trong đó sửa “Đoàn đại biêu Quốc hội Thành phố”.</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sửa thành “Đoàn đại biểu Quốc hội Thành phố” và rà soát kỹ thuật trình bày.</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Dự thảo Tờ trình - Căn cứ, phạm vi điều chỉnh, kỹ thuật đánh số</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Dự thảo Tờ trình cần thống nhất cách dẫn căn cứ; mô tả đầy đủ phạm vi điều chỉnh và chỉnh lại cách đánh số các nội dung chi.</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Sẽ rà soát phần căn cứ, phạm vi điều chỉnh và đánh số các tiểu mục tại dự thảo Tờ trình; không làm thay đổi chính sách của dự thảo Nghị quyết.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Dự thảo Nghị quyết - Tên Nghị quyết, phần căn cứ</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Rà soát thể thức tên Nghị quyết, phần căn cứ; bổ sung đầy đủ ngày, tháng, năm và cơ quan ban hành Thông tư số 67/2019/TT-BTC.</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về việc bổ sung đầy đủ thông tin văn bản và rà soát thể thức, kỹ thuật trình bày dự thảo Nghị quyết.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1 khoản 1 - Phạm vi điều chỉnh</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Khoản 1 Điều 1 cần thể hiện cả “mức chi và việc sử dụng kinh phí” để thống nhất với tên Nghị quyết.</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tiếp thu. Khoản 1 Điều 1 giữ theo hướng kế thừa Nghị quyết số 10/2021/NQ-HĐND: “Nghị quyết này quy định mức chi thực hiện công tác thăm dò, khai quật khảo cổ từ nguồn ngân sách nhà nước trên địa bàn Thành phố Hồ Chí Minh”. Nội dung về nguồn kinh phí và </w:t>
            </w:r>
            <w:r w:rsidRPr="0017174B">
              <w:rPr>
                <w:rFonts w:cs="Times New Roman"/>
                <w:sz w:val="26"/>
                <w:szCs w:val="26"/>
              </w:rPr>
              <w:lastRenderedPageBreak/>
              <w:t>nguyên tắc sử dụng kinh phí đã được thể hiện tại Điều 4 và các quy định có liên quan; không bổ sung thêm tại Điều 1 để tránh mở rộng phạm vi điều chỉnh so với nội dung đang kế thừa.</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3 khoản 4 - Mức chi thuê khoán nhân công, bảo vệ công trường và kho tạm</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Khoản 4 Điều 3 cần làm rõ mức 350.000 đồng/người/ngày là mức tối đa hay mức áp dụng thống nhất; làm rõ căn cứ tính đối với bảo vệ liên tục 24/24 giờ.</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việc sửa thành mức tối đa hoặc quy định chi tiết ca trực, căn cứ tính riêng trong Nghị quyết. Dự thảo giữ nguyên mức chi 350.000 đồng/ngày/người theo Nghị quyết số 10/2021/NQ-HĐND; các nội dung về khối lượng, thời gian, phương án bảo vệ 24/24h được xác định trong dự toán, hợp đồng và hồ sơ nhiệm vụ cụ thể.</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6 điểm b - Chi chụp ảnh di tích, di vật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Sửa lỗi lặp tại điểm b khoản 6 Điều 3; ghi đầy đủ “9 cm x 12 cm”; nghiên cứu quy định tiêu chuẩn ảnh số.</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tiếp thu việc sửa cụm từ và bổ sung đơn vị kích thước. Dự thảo giữ nguyên “Chi chụp ảnh chụp di tích và di vật” và </w:t>
            </w:r>
            <w:r w:rsidRPr="0017174B">
              <w:rPr>
                <w:rFonts w:cs="Times New Roman"/>
                <w:sz w:val="26"/>
                <w:szCs w:val="26"/>
              </w:rPr>
              <w:lastRenderedPageBreak/>
              <w:t>“ảnh cỡ 9x12” theo cách diễn đạt đang được kế thừa; không bổ sung tiêu chuẩn kỹ thuật ảnh số vì đây là yêu cầu sản phẩm chuyên môn, được xác định trong dự án, hồ sơ nhiệm vụ hoặc quy định chuyên ngành khi cần thiết.</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6 khoản 3 - Quy định chuyển tiếp</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Bổ sung quy định chuyển tiếp tại Điều 6.</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bổ sung khoản 3 Điều 6 theo hướng bảo đảm tiếp tục thực hiện dự toán, hợp đồng đã được phê duyệt, ký kết trước ngày Nghị quyết có hiệu lực.</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5 và khoản 6 - Tính chất mức chi tối đa</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Ủy ban nhân dân phường Vĩnh Tân</w:t>
            </w:r>
            <w:r w:rsidRPr="0017174B">
              <w:rPr>
                <w:rFonts w:cs="Times New Roman"/>
                <w:sz w:val="26"/>
                <w:szCs w:val="26"/>
              </w:rPr>
              <w:br/>
              <w:t>(Công văn số 1428/UBND-VHXH ngày 31/7/2026)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Các mức chi báo cáo, lập hồ sơ khoa học cần thể hiện rõ tính chất mức tối đa.</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tiếp thu. Dự thảo giữ cách ghi mức chi theo các mức đang được kế thừa tại Nghị quyết số 10/2021/NQ-HĐND và Thông tư số 67/2019/TT-BTC; không bổ sung cụm từ “tối đa không quá” nếu văn bản được kế thừa </w:t>
            </w:r>
            <w:r w:rsidRPr="0017174B">
              <w:rPr>
                <w:rFonts w:cs="Times New Roman"/>
                <w:sz w:val="26"/>
                <w:szCs w:val="26"/>
              </w:rPr>
              <w:lastRenderedPageBreak/>
              <w:t>không quy định theo cách diễn đạt này.</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Dự thảo Tờ trình - Cơ sở thực tiễn, bối cảnh khảo cổ của Thành phố</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bổ sung phân tích không gian khảo cổ, các địa điểm khảo cổ trọng điểm và bối cảnh thực tiễn của Thành phố.</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một phần để hoàn thiện dự thảo Tờ trình theo hướng khái quát đặc điểm, phạm vi và nhu cầu thực tiễn; không đưa nội dung phân loại không gian khảo cổ chi tiết vào Nghị quyết vì không thuộc phạm vi quy định mức chi.</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1, Điều 3 và Điều 5 - Phạm vi nội dung công tác thăm dò, khai quật khảo cổ</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giải thích “công tác thăm dò, khai quật khảo cổ” bao gồm toàn bộ chuỗi công việc trước, trong và sau khai quật.</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bổ sung vào Nghị quyết. Phạm vi các nội dung chi đã được Thông tư số 67/2019/TT-BTC quy định; khoản 7 Điều 3 của dự thảo tiếp tục dẫn chiếu các khoản 7, 8, 9, 10 và 11 Điều 4 của Thông tư để bao quát các công việc còn lại.</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1 và Điều 4 - Nguồn kinh phí</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phân biệt nguồn kinh phí theo dự án đầu tư công, ngân sách thường xuyên, nguồn xã hội hóa và viện trợ.</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bổ sung thêm. Điều 1 và Điều 4 đã quy định nguyên tắc đối với ngân sách thành phố, công trình xây dựng, nguồn xã hội </w:t>
            </w:r>
            <w:r w:rsidRPr="0017174B">
              <w:rPr>
                <w:rFonts w:cs="Times New Roman"/>
                <w:sz w:val="26"/>
                <w:szCs w:val="26"/>
              </w:rPr>
              <w:lastRenderedPageBreak/>
              <w:t>hóa, viện trợ và các nguồn hợp pháp khác; việc xác định nguồn vốn cụ thể thực hiện theo pháp luật về ngân sách, đầu tư công, di sản văn hóa và pháp luật liên quan.</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3 khoản 1 - Chi thù lao cho cán bộ khoa học, kỹ thuật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phân nhóm cán bộ khoa học, kỹ thuật theo nhiệm vụ và không áp dụng đồng loạt mức 300.000 đồng/người/ngày.</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Mức 300.000 đồng/người/ngày được kế thừa trực tiếp từ khoản 1 Điều 4 Thông tư số 67/2019/TT-BTC. Các nhiệm vụ chuyên môn theo sản phẩm, hợp đồng hoặc phân tích chuyên sâu được thực hiện theo các khoản chi tương ứng và khoản 7 Điều 3 dự thảo.</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2 - Chi thù lao đối với chuyên gia tư vấn khoa học</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nâng mức chuyên gia tư vấn khoa học lên tối thiểu 1.000.000 đồng/người/ngày và có cơ chế rà soát định kỳ.</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tiếp thu trong dự thảo lần này. Mức 650.000 đồng/người/ngày bám khoản 2 Điều 4 Thông tư số 67/2019/TT-BTC; việc xây dựng mức cao hơn hoặc cơ chế điều chỉnh định kỳ cần cơ sở pháp lý </w:t>
            </w:r>
            <w:r w:rsidRPr="0017174B">
              <w:rPr>
                <w:rFonts w:cs="Times New Roman"/>
                <w:sz w:val="26"/>
                <w:szCs w:val="26"/>
              </w:rPr>
              <w:lastRenderedPageBreak/>
              <w:t>và đánh giá tác động ngân sách riêng.</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3 khoản 4 - Chi thuê khoán nhân công, bảo vệ công trường và kho tạm</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phân biệt nhân công phổ thông, nhân công có kỹ năng; quy định ca trực bảo vệ; cho phép chi phí đi lại, lưu trú tại địa bàn xa.</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Dự thảo giữ nguyên cách quy định mức chi thuê khoán nhân công, bảo vệ công trường và kho tạm theo Nghị quyết số 10/2021/NQ-HĐND. Không phân nhóm nhân công, ca trực hoặc bổ sung công tác phí cho lao động thuê khoán vì các nội dung này được xác định trong dự toán, hợp đồng và phương án tổ chức của từng nhiệm vụ.</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5 - Chi viết báo cáo kết quả thăm dò, khai quật khảo cổ</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điều chỉnh mức chi báo cáo đối với cuộc khai quật quy mô lớn; bổ sung tiêu chí nghiệm thu, dữ liệu bàn giao.</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Không tiếp thu việc bổ sung mức riêng theo quy mô khai quật, tiêu chí nghiệm thu hoặc dữ liệu bàn giao vào Nghị quyết. Dự thảo giữ mức chi viết báo cáo theo định mức đang được kế thừa; yêu cầu sản phẩm, nghiệm thu, bàn giao được xác định trong </w:t>
            </w:r>
            <w:r w:rsidRPr="0017174B">
              <w:rPr>
                <w:rFonts w:cs="Times New Roman"/>
                <w:sz w:val="26"/>
                <w:szCs w:val="26"/>
              </w:rPr>
              <w:lastRenderedPageBreak/>
              <w:t>dự án, nhiệm vụ và hợp đồng cụ thể.</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3 khoản 6 - Mức chi cho công tác lập hồ sơ khoa học</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bổ sung khổ A1; tiêu chuẩn ảnh số; tiêu chí phiếu hiện vật; phân biệt đo vẽ thủ công và công nghệ cao.</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Các nội dung này vượt phạm vi định mức được quy định cụ thể tại Thông tư số 67/2019/TT-BTC; các sản phẩm, phương pháp đặc thù có thể lập dự toán theo hợp đồng, định mức chuyên ngành hoặc khoản chi còn lại được dẫn chiếu tại khoản 7 Điều 3.</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3 khoản 7 - Các khoản chi còn lại và nội dung chuyên môn sau khai quật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liệt kê chi phí phân tích mẫu, quy trình lấy và quản lý mẫu; bảo quản hiện vật; an toàn lao động; bảo vệ môi trường và hoàn trả mặt bằng.</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liệt kê bổ sung trong Nghị quyết. Các khoản chi này đã được bao quát theo các khoản chi còn lại được dẫn chiếu tại khoản 7 Điều 3 dự thảo hoặc thực hiện theo pháp luật chuyên ngành, hồ sơ dự án, dự toán được phê duyệt. Việc liệt kê chi tiết có thể làm phát sinh nội dung vượt phạm vi được giao và nhanh lạc hậu.</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lastRenderedPageBreak/>
              <w:t>Điều 4 - Nguồn kinh phí, phương thức thanh toán</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đa dạng phương thức thanh toán theo ngày công, đơn giá sản phẩm, hợp đồng; làm rõ nguồn kinh phí tại khu vực xây dựng công trình và nguyên tắc nguồn xã hội hóa.</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bổ sung thêm. Phương thức thanh toán thực hiện theo dự toán, hợp đồng và quy định tài chính hiện hành; nguồn kinh phí đã được dẫn chiếu tại Điều 4 dự thảo và khoản 4 Điều 38 Luật Di sản văn hóa.</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5 - Tổ chức thực hiện, quản lý dữ liệu khảo cổ</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quy định cụ thể trách nhiệm của các sở, ngành; xây dựng cơ sở dữ liệu khảo cổ, quyền công bố và quyền sử dụng dữ liệu.</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Không tiếp thu vào Nghị quyết này. Dự thảo chỉ quy định mức chi, nguồn kinh phí và trách nhiệm tổ chức thực hiện ở mức cần thiết; cơ sở dữ liệu, quản lý và công bố dữ liệu khảo cổ thuộc pháp luật chuyên ngành và các chương trình, đề án quản lý di sản khác.</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Điều 6 khoản 3 - Quy định chuyển tiếp</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Đề nghị bổ sung quy định chuyển tiếp.</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Tiếp thu; bổ sung khoản 3 Điều 6.</w:t>
            </w:r>
          </w:p>
        </w:tc>
      </w:tr>
      <w:tr w:rsidR="00F411BD" w:rsidRPr="0017174B" w:rsidTr="0017174B">
        <w:tc>
          <w:tcPr>
            <w:tcW w:w="2313"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Bản so sánh, thuyết minh dự thảo Nghị quyết</w:t>
            </w:r>
          </w:p>
        </w:tc>
        <w:tc>
          <w:tcPr>
            <w:tcW w:w="3674" w:type="dxa"/>
            <w:tcMar>
              <w:top w:w="80" w:type="dxa"/>
              <w:left w:w="80" w:type="dxa"/>
              <w:bottom w:w="80" w:type="dxa"/>
              <w:right w:w="80" w:type="dxa"/>
            </w:tcMar>
          </w:tcPr>
          <w:p w:rsidR="00F411BD" w:rsidRPr="0017174B" w:rsidRDefault="00F411BD" w:rsidP="00F411BD">
            <w:pPr>
              <w:spacing w:after="0" w:line="240" w:lineRule="auto"/>
              <w:jc w:val="center"/>
              <w:rPr>
                <w:rFonts w:cs="Times New Roman"/>
                <w:sz w:val="26"/>
                <w:szCs w:val="26"/>
              </w:rPr>
            </w:pPr>
            <w:r w:rsidRPr="0017174B">
              <w:rPr>
                <w:rFonts w:cs="Times New Roman"/>
                <w:sz w:val="26"/>
                <w:szCs w:val="26"/>
              </w:rPr>
              <w:t>Trường Đại học Khoa học Xã hội và Nhân văn - Đại học Quốc gia Thành phố Hồ Chí Minh</w:t>
            </w:r>
            <w:r w:rsidRPr="0017174B">
              <w:rPr>
                <w:rFonts w:cs="Times New Roman"/>
                <w:sz w:val="26"/>
                <w:szCs w:val="26"/>
              </w:rPr>
              <w:br/>
            </w:r>
            <w:r w:rsidRPr="0017174B">
              <w:rPr>
                <w:rFonts w:cs="Times New Roman"/>
                <w:sz w:val="26"/>
                <w:szCs w:val="26"/>
              </w:rPr>
              <w:lastRenderedPageBreak/>
              <w:t>(Công văn số 1119/XHNV-ĐN&amp;QLKH ngày 04/8/2026)</w:t>
            </w:r>
          </w:p>
        </w:tc>
        <w:tc>
          <w:tcPr>
            <w:tcW w:w="5085"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lastRenderedPageBreak/>
              <w:t>Đề nghị Bản so sánh, thuyết minh bổ sung đánh giá tác động, minh chứng về khả năng cân đối ngân sách và thực tiễn áp dụng.</w:t>
            </w:r>
          </w:p>
        </w:tc>
        <w:tc>
          <w:tcPr>
            <w:tcW w:w="2957" w:type="dxa"/>
            <w:tcMar>
              <w:top w:w="80" w:type="dxa"/>
              <w:left w:w="80" w:type="dxa"/>
              <w:bottom w:w="80" w:type="dxa"/>
              <w:right w:w="80" w:type="dxa"/>
            </w:tcMar>
          </w:tcPr>
          <w:p w:rsidR="00F411BD" w:rsidRPr="0017174B" w:rsidRDefault="00F411BD" w:rsidP="00F411BD">
            <w:pPr>
              <w:spacing w:after="0" w:line="240" w:lineRule="auto"/>
              <w:jc w:val="both"/>
              <w:rPr>
                <w:rFonts w:cs="Times New Roman"/>
                <w:sz w:val="26"/>
                <w:szCs w:val="26"/>
              </w:rPr>
            </w:pPr>
            <w:r w:rsidRPr="0017174B">
              <w:rPr>
                <w:rFonts w:cs="Times New Roman"/>
                <w:sz w:val="26"/>
                <w:szCs w:val="26"/>
              </w:rPr>
              <w:t xml:space="preserve">Tiếp thu một phần. Sẽ bổ sung, cập nhật nội dung giải trình về tính kế thừa, </w:t>
            </w:r>
            <w:r w:rsidRPr="0017174B">
              <w:rPr>
                <w:rFonts w:cs="Times New Roman"/>
                <w:sz w:val="26"/>
                <w:szCs w:val="26"/>
              </w:rPr>
              <w:lastRenderedPageBreak/>
              <w:t>tác động và khả năng thực hiện trong hồ sơ trình; không thay đổi nội dung chính sách của dự thảo Nghị quyết.</w:t>
            </w:r>
          </w:p>
        </w:tc>
      </w:tr>
    </w:tbl>
    <w:p w:rsidR="002B35EB" w:rsidRDefault="002B35EB" w:rsidP="0017174B">
      <w:pPr>
        <w:spacing w:after="0"/>
        <w:ind w:firstLine="567"/>
      </w:pPr>
    </w:p>
    <w:sectPr w:rsidR="002B35EB" w:rsidSect="004C796D">
      <w:headerReference w:type="default" r:id="rId8"/>
      <w:pgSz w:w="15840" w:h="12240" w:orient="landscape"/>
      <w:pgMar w:top="907" w:right="907" w:bottom="850"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2AD" w:rsidRDefault="009822AD" w:rsidP="004C796D">
      <w:pPr>
        <w:spacing w:after="0" w:line="240" w:lineRule="auto"/>
      </w:pPr>
      <w:r>
        <w:separator/>
      </w:r>
    </w:p>
  </w:endnote>
  <w:endnote w:type="continuationSeparator" w:id="0">
    <w:p w:rsidR="009822AD" w:rsidRDefault="009822AD" w:rsidP="004C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2AD" w:rsidRDefault="009822AD" w:rsidP="004C796D">
      <w:pPr>
        <w:spacing w:after="0" w:line="240" w:lineRule="auto"/>
      </w:pPr>
      <w:r>
        <w:separator/>
      </w:r>
    </w:p>
  </w:footnote>
  <w:footnote w:type="continuationSeparator" w:id="0">
    <w:p w:rsidR="009822AD" w:rsidRDefault="009822AD" w:rsidP="004C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968607"/>
      <w:docPartObj>
        <w:docPartGallery w:val="Page Numbers (Top of Page)"/>
        <w:docPartUnique/>
      </w:docPartObj>
    </w:sdtPr>
    <w:sdtEndPr>
      <w:rPr>
        <w:noProof/>
      </w:rPr>
    </w:sdtEndPr>
    <w:sdtContent>
      <w:p w:rsidR="004C796D" w:rsidRDefault="004C796D">
        <w:pPr>
          <w:pStyle w:val="Header"/>
          <w:jc w:val="center"/>
        </w:pPr>
        <w:r>
          <w:fldChar w:fldCharType="begin"/>
        </w:r>
        <w:r>
          <w:instrText xml:space="preserve"> PAGE   \* MERGEFORMAT </w:instrText>
        </w:r>
        <w:r>
          <w:fldChar w:fldCharType="separate"/>
        </w:r>
        <w:r w:rsidR="006C24D4">
          <w:rPr>
            <w:noProof/>
          </w:rPr>
          <w:t>22</w:t>
        </w:r>
        <w:r>
          <w:rPr>
            <w:noProof/>
          </w:rPr>
          <w:fldChar w:fldCharType="end"/>
        </w:r>
      </w:p>
    </w:sdtContent>
  </w:sdt>
  <w:p w:rsidR="004C796D" w:rsidRDefault="004C79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0A66"/>
    <w:rsid w:val="00034616"/>
    <w:rsid w:val="00053F55"/>
    <w:rsid w:val="0006063C"/>
    <w:rsid w:val="000A5BFF"/>
    <w:rsid w:val="000C2A14"/>
    <w:rsid w:val="000C65B9"/>
    <w:rsid w:val="0015074B"/>
    <w:rsid w:val="0017174B"/>
    <w:rsid w:val="0029639D"/>
    <w:rsid w:val="002B35EB"/>
    <w:rsid w:val="00326F90"/>
    <w:rsid w:val="0034033E"/>
    <w:rsid w:val="00391429"/>
    <w:rsid w:val="004C6270"/>
    <w:rsid w:val="004C796D"/>
    <w:rsid w:val="00563D00"/>
    <w:rsid w:val="00583175"/>
    <w:rsid w:val="006C24D4"/>
    <w:rsid w:val="00831A81"/>
    <w:rsid w:val="00866EB5"/>
    <w:rsid w:val="009822AD"/>
    <w:rsid w:val="00AA1D8D"/>
    <w:rsid w:val="00B13224"/>
    <w:rsid w:val="00B47730"/>
    <w:rsid w:val="00BA0D19"/>
    <w:rsid w:val="00BE0356"/>
    <w:rsid w:val="00CB0664"/>
    <w:rsid w:val="00D3555E"/>
    <w:rsid w:val="00D45AE2"/>
    <w:rsid w:val="00DD534A"/>
    <w:rsid w:val="00F411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9C2FA"/>
  <w14:defaultImageDpi w14:val="300"/>
  <w15:docId w15:val="{704B4FBF-B46D-4341-8B70-F3356A15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0C42C-FB77-48D7-84D9-123F8089F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30</Pages>
  <Words>5676</Words>
  <Characters>32356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12</cp:revision>
  <dcterms:created xsi:type="dcterms:W3CDTF">2026-08-17T09:48:00Z</dcterms:created>
  <dcterms:modified xsi:type="dcterms:W3CDTF">2026-08-18T10:02:00Z</dcterms:modified>
  <cp:category/>
</cp:coreProperties>
</file>