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82" w:type="dxa"/>
        <w:tblInd w:w="-567" w:type="dxa"/>
        <w:tblCellMar>
          <w:left w:w="85" w:type="dxa"/>
          <w:right w:w="85" w:type="dxa"/>
        </w:tblCellMar>
        <w:tblLook w:val="0000" w:firstRow="0" w:lastRow="0" w:firstColumn="0" w:lastColumn="0" w:noHBand="0" w:noVBand="0"/>
      </w:tblPr>
      <w:tblGrid>
        <w:gridCol w:w="6720"/>
        <w:gridCol w:w="8562"/>
      </w:tblGrid>
      <w:tr w:rsidR="005A1519" w:rsidRPr="009C5FB8" w14:paraId="6A564797" w14:textId="77777777" w:rsidTr="00477C54">
        <w:trPr>
          <w:cantSplit/>
          <w:trHeight w:val="1266"/>
        </w:trPr>
        <w:tc>
          <w:tcPr>
            <w:tcW w:w="6720" w:type="dxa"/>
          </w:tcPr>
          <w:p w14:paraId="6E8C820D" w14:textId="77777777" w:rsidR="00495AF8" w:rsidRPr="009C5FB8" w:rsidRDefault="00495AF8" w:rsidP="00495AF8">
            <w:pPr>
              <w:widowControl/>
              <w:tabs>
                <w:tab w:val="left" w:pos="977"/>
              </w:tabs>
              <w:jc w:val="center"/>
              <w:rPr>
                <w:rFonts w:ascii="Times New Roman" w:hAnsi="Times New Roman" w:cs="Times New Roman"/>
                <w:color w:val="auto"/>
                <w:sz w:val="26"/>
                <w:szCs w:val="26"/>
                <w:lang w:val="en-US" w:eastAsia="en-US"/>
              </w:rPr>
            </w:pPr>
            <w:r w:rsidRPr="009C5FB8">
              <w:rPr>
                <w:rFonts w:ascii="Times New Roman" w:hAnsi="Times New Roman" w:cs="Times New Roman"/>
                <w:color w:val="auto"/>
                <w:sz w:val="26"/>
                <w:szCs w:val="26"/>
                <w:lang w:val="en-US" w:eastAsia="en-US"/>
              </w:rPr>
              <w:t>ỦY BAN NHÂN DÂN</w:t>
            </w:r>
          </w:p>
          <w:p w14:paraId="1F6621FD" w14:textId="73395A93" w:rsidR="00495AF8" w:rsidRPr="009C5FB8" w:rsidRDefault="00495AF8" w:rsidP="00495AF8">
            <w:pPr>
              <w:widowControl/>
              <w:jc w:val="center"/>
              <w:rPr>
                <w:rFonts w:ascii="Times New Roman" w:hAnsi="Times New Roman" w:cs="Times New Roman"/>
                <w:color w:val="auto"/>
                <w:sz w:val="26"/>
                <w:szCs w:val="26"/>
                <w:lang w:val="en-US" w:eastAsia="en-US"/>
              </w:rPr>
            </w:pPr>
            <w:r w:rsidRPr="009C5FB8">
              <w:rPr>
                <w:rFonts w:ascii="Times New Roman" w:hAnsi="Times New Roman" w:cs="Times New Roman"/>
                <w:color w:val="auto"/>
                <w:sz w:val="26"/>
                <w:szCs w:val="26"/>
                <w:lang w:val="en-US" w:eastAsia="en-US"/>
              </w:rPr>
              <w:t>THÀNH PHỐ HỒ CHÍ MINH</w:t>
            </w:r>
          </w:p>
          <w:p w14:paraId="7A54A78B" w14:textId="7CFDFF59" w:rsidR="00477C54" w:rsidRPr="009C5FB8" w:rsidRDefault="00477C54" w:rsidP="00495AF8">
            <w:pPr>
              <w:widowControl/>
              <w:jc w:val="center"/>
              <w:rPr>
                <w:rFonts w:ascii="Times New Roman" w:hAnsi="Times New Roman" w:cs="Times New Roman"/>
                <w:b/>
                <w:color w:val="auto"/>
                <w:sz w:val="26"/>
                <w:szCs w:val="26"/>
                <w:lang w:val="en-US" w:eastAsia="en-US"/>
              </w:rPr>
            </w:pPr>
            <w:r w:rsidRPr="009C5FB8">
              <w:rPr>
                <w:rFonts w:ascii="Times New Roman" w:hAnsi="Times New Roman" w:cs="Times New Roman"/>
                <w:b/>
                <w:color w:val="auto"/>
                <w:sz w:val="26"/>
                <w:szCs w:val="26"/>
                <w:lang w:val="en-US" w:eastAsia="en-US"/>
              </w:rPr>
              <w:t>SỞ VĂN HÓA VÀ THỂ THAO</w:t>
            </w:r>
          </w:p>
          <w:p w14:paraId="2C32A4BA" w14:textId="70B24C2E" w:rsidR="00495AF8" w:rsidRPr="00C175D4" w:rsidRDefault="00CB3725" w:rsidP="00495AF8">
            <w:pPr>
              <w:widowControl/>
              <w:jc w:val="center"/>
              <w:rPr>
                <w:rFonts w:ascii="Times New Roman" w:hAnsi="Times New Roman" w:cs="Times New Roman"/>
                <w:color w:val="auto"/>
                <w:sz w:val="12"/>
                <w:szCs w:val="12"/>
                <w:lang w:eastAsia="en-US"/>
              </w:rPr>
            </w:pPr>
            <w:r>
              <w:rPr>
                <w:rFonts w:ascii="Times New Roman" w:hAnsi="Times New Roman" w:cs="Times New Roman"/>
                <w:noProof/>
                <w:color w:val="auto"/>
                <w:sz w:val="12"/>
                <w:szCs w:val="12"/>
                <w:lang w:val="en-US" w:eastAsia="en-US"/>
              </w:rPr>
              <mc:AlternateContent>
                <mc:Choice Requires="wps">
                  <w:drawing>
                    <wp:anchor distT="0" distB="0" distL="114300" distR="114300" simplePos="0" relativeHeight="251659264" behindDoc="0" locked="0" layoutInCell="1" allowOverlap="1" wp14:anchorId="032177ED" wp14:editId="2DE6C102">
                      <wp:simplePos x="0" y="0"/>
                      <wp:positionH relativeFrom="column">
                        <wp:posOffset>1473834</wp:posOffset>
                      </wp:positionH>
                      <wp:positionV relativeFrom="paragraph">
                        <wp:posOffset>24765</wp:posOffset>
                      </wp:positionV>
                      <wp:extent cx="1095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2A3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05pt,1.95pt" to="202.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ztQEAALcDAAAOAAAAZHJzL2Uyb0RvYy54bWysU02P0zAQvSPxHyzfadJF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" strokecolor="black [3200]" strokeweight=".5pt">
                      <v:stroke joinstyle="miter"/>
                    </v:line>
                  </w:pict>
                </mc:Fallback>
              </mc:AlternateContent>
            </w:r>
          </w:p>
        </w:tc>
        <w:tc>
          <w:tcPr>
            <w:tcW w:w="8562" w:type="dxa"/>
          </w:tcPr>
          <w:p w14:paraId="2DE647CB" w14:textId="77777777" w:rsidR="00495AF8" w:rsidRPr="009C5FB8" w:rsidRDefault="00495AF8" w:rsidP="00495AF8">
            <w:pPr>
              <w:widowControl/>
              <w:jc w:val="center"/>
              <w:rPr>
                <w:rFonts w:ascii="Times New Roman" w:hAnsi="Times New Roman" w:cs="Times New Roman"/>
                <w:b/>
                <w:color w:val="auto"/>
                <w:spacing w:val="-8"/>
                <w:sz w:val="26"/>
                <w:szCs w:val="26"/>
                <w:lang w:val="en-US" w:eastAsia="en-US"/>
              </w:rPr>
            </w:pPr>
            <w:r w:rsidRPr="009C5FB8">
              <w:rPr>
                <w:rFonts w:ascii="Times New Roman" w:hAnsi="Times New Roman" w:cs="Times New Roman"/>
                <w:b/>
                <w:noProof/>
                <w:color w:val="auto"/>
                <w:spacing w:val="-8"/>
                <w:sz w:val="26"/>
                <w:szCs w:val="26"/>
                <w:lang w:val="en-US" w:eastAsia="en-US"/>
              </w:rPr>
              <w:t>CỘNG HÒA XÃ HỘI CHỦ NGHĨA VIỆT NAM</w:t>
            </w:r>
          </w:p>
          <w:p w14:paraId="765CF083" w14:textId="77777777" w:rsidR="00495AF8" w:rsidRPr="009C5FB8" w:rsidRDefault="00495AF8" w:rsidP="00495AF8">
            <w:pPr>
              <w:widowControl/>
              <w:jc w:val="center"/>
              <w:rPr>
                <w:rFonts w:ascii="Times New Roman" w:hAnsi="Times New Roman" w:cs="Times New Roman"/>
                <w:color w:val="auto"/>
                <w:sz w:val="26"/>
                <w:szCs w:val="26"/>
                <w:lang w:val="en-US" w:eastAsia="en-US"/>
              </w:rPr>
            </w:pPr>
            <w:r w:rsidRPr="009C5FB8">
              <w:rPr>
                <w:rFonts w:ascii="Times New Roman" w:hAnsi="Times New Roman" w:cs="Times New Roman"/>
                <w:b/>
                <w:color w:val="auto"/>
                <w:sz w:val="26"/>
                <w:szCs w:val="26"/>
                <w:lang w:val="en-US" w:eastAsia="en-US"/>
              </w:rPr>
              <w:t>Độc lập - Tự do - Hạnh phúc</w:t>
            </w:r>
          </w:p>
          <w:p w14:paraId="6683D383" w14:textId="77777777" w:rsidR="00495AF8" w:rsidRPr="009C5FB8" w:rsidRDefault="00495AF8" w:rsidP="00495AF8">
            <w:pPr>
              <w:widowControl/>
              <w:jc w:val="center"/>
              <w:rPr>
                <w:rFonts w:ascii="Times New Roman" w:hAnsi="Times New Roman" w:cs="Times New Roman"/>
                <w:i/>
                <w:iCs/>
                <w:color w:val="auto"/>
                <w:sz w:val="12"/>
                <w:szCs w:val="12"/>
                <w:lang w:val="en-US" w:eastAsia="en-US"/>
              </w:rPr>
            </w:pPr>
            <w:r w:rsidRPr="009C5FB8">
              <w:rPr>
                <w:rFonts w:ascii="Times New Roman" w:hAnsi="Times New Roman" w:cs="Times New Roman"/>
                <w:color w:val="auto"/>
                <w:sz w:val="12"/>
                <w:szCs w:val="12"/>
                <w:lang w:val="en-US" w:eastAsia="en-US"/>
              </w:rPr>
              <w:t>_________________________</w:t>
            </w:r>
            <w:r w:rsidR="0077422F" w:rsidRPr="009C5FB8">
              <w:rPr>
                <w:rFonts w:ascii="Times New Roman" w:hAnsi="Times New Roman" w:cs="Times New Roman"/>
                <w:color w:val="auto"/>
                <w:sz w:val="12"/>
                <w:szCs w:val="12"/>
                <w:lang w:val="en-US" w:eastAsia="en-US"/>
              </w:rPr>
              <w:t>__________________</w:t>
            </w:r>
            <w:r w:rsidRPr="009C5FB8">
              <w:rPr>
                <w:rFonts w:ascii="Times New Roman" w:hAnsi="Times New Roman" w:cs="Times New Roman"/>
                <w:color w:val="auto"/>
                <w:sz w:val="12"/>
                <w:szCs w:val="12"/>
                <w:lang w:val="en-US" w:eastAsia="en-US"/>
              </w:rPr>
              <w:t>__________</w:t>
            </w:r>
          </w:p>
        </w:tc>
      </w:tr>
      <w:tr w:rsidR="005A1519" w:rsidRPr="009C5FB8" w14:paraId="21473C53" w14:textId="77777777" w:rsidTr="00477C54">
        <w:trPr>
          <w:cantSplit/>
          <w:trHeight w:val="418"/>
        </w:trPr>
        <w:tc>
          <w:tcPr>
            <w:tcW w:w="6720" w:type="dxa"/>
          </w:tcPr>
          <w:p w14:paraId="0B05677E" w14:textId="77777777" w:rsidR="00495AF8" w:rsidRPr="009C5FB8" w:rsidRDefault="00495AF8" w:rsidP="00495AF8">
            <w:pPr>
              <w:widowControl/>
              <w:tabs>
                <w:tab w:val="left" w:pos="977"/>
              </w:tabs>
              <w:jc w:val="center"/>
              <w:rPr>
                <w:rFonts w:ascii="Times New Roman" w:hAnsi="Times New Roman" w:cs="Times New Roman"/>
                <w:color w:val="auto"/>
                <w:sz w:val="26"/>
                <w:szCs w:val="26"/>
                <w:lang w:val="en-US" w:eastAsia="en-US"/>
              </w:rPr>
            </w:pPr>
          </w:p>
        </w:tc>
        <w:tc>
          <w:tcPr>
            <w:tcW w:w="8562" w:type="dxa"/>
          </w:tcPr>
          <w:p w14:paraId="695FF502" w14:textId="75BBD101" w:rsidR="00495AF8" w:rsidRPr="00585D63" w:rsidRDefault="00585D63" w:rsidP="00495AF8">
            <w:pPr>
              <w:widowControl/>
              <w:jc w:val="center"/>
              <w:rPr>
                <w:rFonts w:ascii="Times New Roman" w:hAnsi="Times New Roman" w:cs="Times New Roman"/>
                <w:b/>
                <w:noProof/>
                <w:color w:val="auto"/>
                <w:sz w:val="26"/>
                <w:szCs w:val="26"/>
                <w:lang w:eastAsia="en-US"/>
              </w:rPr>
            </w:pPr>
            <w:r>
              <w:rPr>
                <w:rFonts w:ascii="Times New Roman" w:hAnsi="Times New Roman" w:cs="Times New Roman"/>
                <w:i/>
                <w:iCs/>
                <w:color w:val="auto"/>
                <w:sz w:val="26"/>
                <w:szCs w:val="26"/>
                <w:lang w:val="en-US" w:eastAsia="en-US"/>
              </w:rPr>
              <w:t xml:space="preserve">Thành phố Hồ Chí Minh, ngày </w:t>
            </w:r>
            <w:r>
              <w:rPr>
                <w:rFonts w:ascii="Times New Roman" w:hAnsi="Times New Roman" w:cs="Times New Roman"/>
                <w:i/>
                <w:iCs/>
                <w:color w:val="auto"/>
                <w:sz w:val="26"/>
                <w:szCs w:val="26"/>
                <w:lang w:eastAsia="en-US"/>
              </w:rPr>
              <w:t xml:space="preserve"> </w:t>
            </w:r>
            <w:r w:rsidR="00EE5194">
              <w:rPr>
                <w:rFonts w:ascii="Times New Roman" w:hAnsi="Times New Roman" w:cs="Times New Roman"/>
                <w:i/>
                <w:iCs/>
                <w:color w:val="auto"/>
                <w:sz w:val="26"/>
                <w:szCs w:val="26"/>
                <w:lang w:val="en-US" w:eastAsia="en-US"/>
              </w:rPr>
              <w:t>16</w:t>
            </w:r>
            <w:r w:rsidR="00133FB9">
              <w:rPr>
                <w:rFonts w:ascii="Times New Roman" w:hAnsi="Times New Roman" w:cs="Times New Roman"/>
                <w:i/>
                <w:iCs/>
                <w:color w:val="auto"/>
                <w:sz w:val="26"/>
                <w:szCs w:val="26"/>
                <w:lang w:val="en-US" w:eastAsia="en-US"/>
              </w:rPr>
              <w:t xml:space="preserve"> </w:t>
            </w:r>
            <w:r w:rsidR="00495AF8" w:rsidRPr="00C175D4">
              <w:rPr>
                <w:rFonts w:ascii="Times New Roman" w:hAnsi="Times New Roman" w:cs="Times New Roman"/>
                <w:i/>
                <w:iCs/>
                <w:color w:val="auto"/>
                <w:sz w:val="26"/>
                <w:szCs w:val="26"/>
                <w:lang w:val="en-US" w:eastAsia="en-US"/>
              </w:rPr>
              <w:t xml:space="preserve"> tháng  </w:t>
            </w:r>
            <w:r>
              <w:rPr>
                <w:rFonts w:ascii="Times New Roman" w:hAnsi="Times New Roman" w:cs="Times New Roman"/>
                <w:i/>
                <w:iCs/>
                <w:color w:val="auto"/>
                <w:sz w:val="26"/>
                <w:szCs w:val="26"/>
                <w:lang w:eastAsia="en-US"/>
              </w:rPr>
              <w:t>01</w:t>
            </w:r>
            <w:bookmarkStart w:id="0" w:name="_GoBack"/>
            <w:bookmarkEnd w:id="0"/>
            <w:r w:rsidR="0050458A" w:rsidRPr="00C175D4">
              <w:rPr>
                <w:rFonts w:ascii="Times New Roman" w:hAnsi="Times New Roman" w:cs="Times New Roman"/>
                <w:i/>
                <w:iCs/>
                <w:color w:val="auto"/>
                <w:sz w:val="26"/>
                <w:szCs w:val="26"/>
                <w:lang w:val="en-US" w:eastAsia="en-US"/>
              </w:rPr>
              <w:t xml:space="preserve"> </w:t>
            </w:r>
            <w:r>
              <w:rPr>
                <w:rFonts w:ascii="Times New Roman" w:hAnsi="Times New Roman" w:cs="Times New Roman"/>
                <w:i/>
                <w:iCs/>
                <w:color w:val="auto"/>
                <w:sz w:val="26"/>
                <w:szCs w:val="26"/>
                <w:lang w:val="en-US" w:eastAsia="en-US"/>
              </w:rPr>
              <w:t xml:space="preserve"> năm 202</w:t>
            </w:r>
            <w:r>
              <w:rPr>
                <w:rFonts w:ascii="Times New Roman" w:hAnsi="Times New Roman" w:cs="Times New Roman"/>
                <w:i/>
                <w:iCs/>
                <w:color w:val="auto"/>
                <w:sz w:val="26"/>
                <w:szCs w:val="26"/>
                <w:lang w:eastAsia="en-US"/>
              </w:rPr>
              <w:t>6</w:t>
            </w:r>
          </w:p>
        </w:tc>
      </w:tr>
    </w:tbl>
    <w:p w14:paraId="44E1F386" w14:textId="77777777" w:rsidR="00653FC5" w:rsidRPr="009C5FB8" w:rsidRDefault="00653FC5" w:rsidP="00653FC5">
      <w:pPr>
        <w:spacing w:before="120"/>
        <w:rPr>
          <w:rFonts w:ascii="Times New Roman" w:hAnsi="Times New Roman" w:cs="Times New Roman"/>
          <w:b/>
          <w:bCs/>
          <w:color w:val="auto"/>
          <w:sz w:val="26"/>
          <w:szCs w:val="26"/>
          <w:lang w:val="en-US"/>
        </w:rPr>
      </w:pPr>
    </w:p>
    <w:p w14:paraId="0D90119A" w14:textId="2000448E" w:rsidR="00653FC5" w:rsidRPr="009C5FB8" w:rsidRDefault="00653FC5" w:rsidP="00495AF8">
      <w:pPr>
        <w:jc w:val="center"/>
        <w:rPr>
          <w:rFonts w:ascii="Times New Roman" w:hAnsi="Times New Roman" w:cs="Times New Roman"/>
          <w:b/>
          <w:bCs/>
          <w:color w:val="auto"/>
          <w:sz w:val="28"/>
          <w:szCs w:val="28"/>
        </w:rPr>
      </w:pPr>
      <w:r w:rsidRPr="009C5FB8">
        <w:rPr>
          <w:rFonts w:ascii="Times New Roman" w:hAnsi="Times New Roman" w:cs="Times New Roman"/>
          <w:b/>
          <w:bCs/>
          <w:color w:val="auto"/>
          <w:sz w:val="28"/>
          <w:szCs w:val="28"/>
        </w:rPr>
        <w:t>BẢN SO SÁNH</w:t>
      </w:r>
      <w:r w:rsidR="0073454F" w:rsidRPr="009C5FB8">
        <w:rPr>
          <w:rFonts w:ascii="Times New Roman" w:hAnsi="Times New Roman" w:cs="Times New Roman"/>
          <w:b/>
          <w:bCs/>
          <w:color w:val="auto"/>
          <w:sz w:val="28"/>
          <w:szCs w:val="28"/>
          <w:lang w:val="en-US"/>
        </w:rPr>
        <w:t xml:space="preserve">, THUYẾT MINH </w:t>
      </w:r>
      <w:r w:rsidRPr="009C5FB8">
        <w:rPr>
          <w:rFonts w:ascii="Times New Roman" w:hAnsi="Times New Roman" w:cs="Times New Roman"/>
          <w:b/>
          <w:bCs/>
          <w:color w:val="auto"/>
          <w:sz w:val="28"/>
          <w:szCs w:val="28"/>
        </w:rPr>
        <w:t>DỰ THẢO</w:t>
      </w:r>
      <w:r w:rsidR="00495AF8" w:rsidRPr="009C5FB8">
        <w:rPr>
          <w:rFonts w:ascii="Times New Roman" w:hAnsi="Times New Roman" w:cs="Times New Roman"/>
          <w:b/>
          <w:bCs/>
          <w:color w:val="auto"/>
          <w:sz w:val="28"/>
          <w:szCs w:val="28"/>
          <w:lang w:val="en-US"/>
        </w:rPr>
        <w:t xml:space="preserve"> </w:t>
      </w:r>
      <w:r w:rsidR="00C212F4">
        <w:rPr>
          <w:rFonts w:ascii="Times New Roman" w:hAnsi="Times New Roman" w:cs="Times New Roman"/>
          <w:b/>
          <w:bCs/>
          <w:color w:val="auto"/>
          <w:sz w:val="28"/>
          <w:szCs w:val="28"/>
          <w:lang w:val="en-US"/>
        </w:rPr>
        <w:t xml:space="preserve">NGHỊ QUYẾT </w:t>
      </w:r>
      <w:r w:rsidR="00771161" w:rsidRPr="009C5FB8">
        <w:rPr>
          <w:rFonts w:ascii="Times New Roman" w:hAnsi="Times New Roman" w:cs="Times New Roman"/>
          <w:b/>
          <w:bCs/>
          <w:color w:val="auto"/>
          <w:sz w:val="28"/>
          <w:szCs w:val="28"/>
          <w:lang w:val="en-US"/>
        </w:rPr>
        <w:t xml:space="preserve">THAY THẾ </w:t>
      </w:r>
      <w:r w:rsidR="00C212F4">
        <w:rPr>
          <w:rFonts w:ascii="Times New Roman" w:hAnsi="Times New Roman" w:cs="Times New Roman"/>
          <w:b/>
          <w:bCs/>
          <w:color w:val="auto"/>
          <w:sz w:val="28"/>
          <w:szCs w:val="28"/>
          <w:lang w:val="en-US"/>
        </w:rPr>
        <w:t>NGHỊ QUYẾT</w:t>
      </w:r>
      <w:r w:rsidR="00495AF8" w:rsidRPr="009C5FB8">
        <w:rPr>
          <w:rFonts w:ascii="Times New Roman" w:hAnsi="Times New Roman" w:cs="Times New Roman"/>
          <w:b/>
          <w:bCs/>
          <w:color w:val="auto"/>
          <w:sz w:val="28"/>
          <w:szCs w:val="28"/>
          <w:lang w:val="en-US"/>
        </w:rPr>
        <w:t xml:space="preserve"> </w:t>
      </w:r>
      <w:r w:rsidRPr="009C5FB8">
        <w:rPr>
          <w:rFonts w:ascii="Times New Roman" w:hAnsi="Times New Roman" w:cs="Times New Roman"/>
          <w:b/>
          <w:bCs/>
          <w:color w:val="auto"/>
          <w:sz w:val="28"/>
          <w:szCs w:val="28"/>
        </w:rPr>
        <w:t>HIỆN HÀNH</w:t>
      </w:r>
    </w:p>
    <w:p w14:paraId="6AFFFC49" w14:textId="77777777" w:rsidR="00564DD7" w:rsidRPr="009C5FB8" w:rsidRDefault="00564DD7" w:rsidP="00495AF8">
      <w:pPr>
        <w:jc w:val="center"/>
        <w:rPr>
          <w:rFonts w:ascii="Times New Roman" w:hAnsi="Times New Roman" w:cs="Times New Roman"/>
          <w:b/>
          <w:bCs/>
          <w:color w:val="auto"/>
          <w:sz w:val="16"/>
          <w:szCs w:val="16"/>
          <w:lang w:val="en-US"/>
        </w:rPr>
      </w:pPr>
      <w:r w:rsidRPr="009C5FB8">
        <w:rPr>
          <w:rFonts w:ascii="Times New Roman" w:hAnsi="Times New Roman" w:cs="Times New Roman"/>
          <w:b/>
          <w:bCs/>
          <w:color w:val="auto"/>
          <w:sz w:val="16"/>
          <w:szCs w:val="16"/>
          <w:lang w:val="en-US"/>
        </w:rPr>
        <w:t>______________</w:t>
      </w:r>
    </w:p>
    <w:p w14:paraId="315B6A70" w14:textId="77777777" w:rsidR="00C212F4" w:rsidRDefault="00C212F4" w:rsidP="0070381A">
      <w:pPr>
        <w:spacing w:before="120" w:after="120"/>
        <w:ind w:firstLine="567"/>
        <w:jc w:val="both"/>
        <w:rPr>
          <w:rFonts w:ascii="Times New Roman" w:hAnsi="Times New Roman" w:cs="Times New Roman"/>
          <w:b/>
          <w:bCs/>
          <w:color w:val="auto"/>
          <w:sz w:val="28"/>
          <w:szCs w:val="28"/>
        </w:rPr>
      </w:pPr>
    </w:p>
    <w:p w14:paraId="03B4A045" w14:textId="252AC58A" w:rsidR="00653FC5" w:rsidRPr="00CB17CA" w:rsidRDefault="00653FC5" w:rsidP="00CB17CA">
      <w:pPr>
        <w:pStyle w:val="ListParagraph"/>
        <w:numPr>
          <w:ilvl w:val="0"/>
          <w:numId w:val="2"/>
        </w:numPr>
        <w:spacing w:before="120" w:after="120"/>
        <w:jc w:val="both"/>
        <w:rPr>
          <w:rFonts w:ascii="Times New Roman" w:hAnsi="Times New Roman" w:cs="Times New Roman"/>
          <w:b/>
          <w:bCs/>
          <w:color w:val="auto"/>
          <w:sz w:val="28"/>
          <w:szCs w:val="28"/>
        </w:rPr>
      </w:pPr>
      <w:r w:rsidRPr="00CB17CA">
        <w:rPr>
          <w:rFonts w:ascii="Times New Roman" w:hAnsi="Times New Roman" w:cs="Times New Roman"/>
          <w:b/>
          <w:bCs/>
          <w:color w:val="auto"/>
          <w:sz w:val="28"/>
          <w:szCs w:val="28"/>
        </w:rPr>
        <w:t>Đối với văn bản sửa đổi, bổ sung, thay thế</w:t>
      </w:r>
    </w:p>
    <w:p w14:paraId="35134991" w14:textId="0DE57E24" w:rsidR="006F3174" w:rsidRPr="006F3174" w:rsidRDefault="006F3174" w:rsidP="006F3174">
      <w:pPr>
        <w:spacing w:before="80" w:after="80" w:line="264" w:lineRule="auto"/>
        <w:ind w:firstLine="720"/>
        <w:jc w:val="both"/>
        <w:rPr>
          <w:rFonts w:ascii="Times New Roman" w:hAnsi="Times New Roman" w:cs="Times New Roman"/>
          <w:sz w:val="28"/>
          <w:szCs w:val="28"/>
          <w:lang w:val="en-US"/>
        </w:rPr>
      </w:pPr>
      <w:r w:rsidRPr="006F3174">
        <w:rPr>
          <w:rFonts w:ascii="Times New Roman" w:hAnsi="Times New Roman" w:cs="Times New Roman"/>
          <w:sz w:val="28"/>
          <w:szCs w:val="28"/>
        </w:rPr>
        <w:t>Nghị quyết số 16/2017/NQ-HĐND  ngày 7/12/2017 của Hội đồng nhân dân Thành phố Hồ Chí Minh về ban hành mức thu phí tham quan các bảo tàng thuộc</w:t>
      </w:r>
      <w:r>
        <w:rPr>
          <w:rFonts w:ascii="Times New Roman" w:hAnsi="Times New Roman" w:cs="Times New Roman"/>
          <w:sz w:val="28"/>
          <w:szCs w:val="28"/>
        </w:rPr>
        <w:t xml:space="preserve"> Sở Văn hóa và Thể thao quản lý</w:t>
      </w:r>
      <w:r>
        <w:rPr>
          <w:rFonts w:ascii="Times New Roman" w:hAnsi="Times New Roman" w:cs="Times New Roman"/>
          <w:sz w:val="28"/>
          <w:szCs w:val="28"/>
          <w:lang w:val="en-US"/>
        </w:rPr>
        <w:t>;</w:t>
      </w:r>
    </w:p>
    <w:p w14:paraId="3FFA0609" w14:textId="148C324F" w:rsidR="006F3174" w:rsidRPr="006F3174" w:rsidRDefault="006F3174" w:rsidP="006F3174">
      <w:pPr>
        <w:spacing w:before="80" w:after="80" w:line="264" w:lineRule="auto"/>
        <w:ind w:firstLine="720"/>
        <w:jc w:val="both"/>
        <w:rPr>
          <w:rFonts w:ascii="Times New Roman" w:hAnsi="Times New Roman" w:cs="Times New Roman"/>
          <w:sz w:val="28"/>
          <w:szCs w:val="28"/>
          <w:lang w:val="en-US"/>
        </w:rPr>
      </w:pPr>
      <w:r w:rsidRPr="006F3174">
        <w:rPr>
          <w:rFonts w:ascii="Times New Roman" w:hAnsi="Times New Roman" w:cs="Times New Roman"/>
          <w:sz w:val="28"/>
          <w:szCs w:val="28"/>
        </w:rPr>
        <w:t>Nghị quyết số 05/2020/NQ-HĐND ngày 20/7/2020 của Hội đồng nhân dân tỉnh Bình Dương quy định phí tham quan di tích lịch sử, danh lam thắng cảnh và Bảo tà</w:t>
      </w:r>
      <w:r>
        <w:rPr>
          <w:rFonts w:ascii="Times New Roman" w:hAnsi="Times New Roman" w:cs="Times New Roman"/>
          <w:sz w:val="28"/>
          <w:szCs w:val="28"/>
        </w:rPr>
        <w:t>ng trên địa bàn tỉnh Bình Dương</w:t>
      </w:r>
      <w:r>
        <w:rPr>
          <w:rFonts w:ascii="Times New Roman" w:hAnsi="Times New Roman" w:cs="Times New Roman"/>
          <w:sz w:val="28"/>
          <w:szCs w:val="28"/>
          <w:lang w:val="en-US"/>
        </w:rPr>
        <w:t>;</w:t>
      </w:r>
    </w:p>
    <w:p w14:paraId="40BE3E02" w14:textId="3B06F680" w:rsidR="006F3174" w:rsidRPr="006F3174" w:rsidRDefault="006F3174" w:rsidP="006F3174">
      <w:pPr>
        <w:spacing w:before="80" w:after="80" w:line="264" w:lineRule="auto"/>
        <w:ind w:firstLine="720"/>
        <w:jc w:val="both"/>
        <w:rPr>
          <w:rFonts w:ascii="Times New Roman" w:hAnsi="Times New Roman" w:cs="Times New Roman"/>
          <w:sz w:val="28"/>
          <w:szCs w:val="28"/>
          <w:lang w:val="en-US"/>
        </w:rPr>
      </w:pPr>
      <w:r w:rsidRPr="006F3174">
        <w:rPr>
          <w:rFonts w:ascii="Times New Roman" w:hAnsi="Times New Roman" w:cs="Times New Roman"/>
          <w:sz w:val="28"/>
          <w:szCs w:val="28"/>
        </w:rPr>
        <w:t>Nghị quyết số 03/2020/NQ-HĐND ngày 04/8/2020 của Hội đồng nhân dân tỉnh Bà Rịa – Vũng Tàu quy định mức thu, nộp, quản lý và sử dụng phí tham quan Khu di tích lịch sử quốc gia đặc biệt nhà tù Côn Đảo và Bảo tàng</w:t>
      </w:r>
      <w:r>
        <w:rPr>
          <w:rFonts w:ascii="Times New Roman" w:hAnsi="Times New Roman" w:cs="Times New Roman"/>
          <w:sz w:val="28"/>
          <w:szCs w:val="28"/>
        </w:rPr>
        <w:t xml:space="preserve"> Côn Đảo tỉnh Bà Rịa – Vũng Tàu</w:t>
      </w:r>
      <w:r>
        <w:rPr>
          <w:rFonts w:ascii="Times New Roman" w:hAnsi="Times New Roman" w:cs="Times New Roman"/>
          <w:sz w:val="28"/>
          <w:szCs w:val="28"/>
          <w:lang w:val="en-US"/>
        </w:rPr>
        <w:t>;</w:t>
      </w:r>
    </w:p>
    <w:p w14:paraId="54017DF1" w14:textId="69ECDB99" w:rsidR="006F3174" w:rsidRPr="006F3174" w:rsidRDefault="006F3174" w:rsidP="006F3174">
      <w:pPr>
        <w:spacing w:before="80" w:after="80" w:line="264" w:lineRule="auto"/>
        <w:ind w:firstLine="720"/>
        <w:jc w:val="both"/>
        <w:rPr>
          <w:rFonts w:ascii="Times New Roman" w:hAnsi="Times New Roman" w:cs="Times New Roman"/>
          <w:sz w:val="28"/>
          <w:szCs w:val="28"/>
          <w:lang w:val="en-US"/>
        </w:rPr>
      </w:pPr>
      <w:r w:rsidRPr="006F3174">
        <w:rPr>
          <w:rFonts w:ascii="Times New Roman" w:hAnsi="Times New Roman" w:cs="Times New Roman"/>
          <w:sz w:val="28"/>
          <w:szCs w:val="28"/>
        </w:rPr>
        <w:t>Nghị quyết số 12/2020/NQ-HĐND ngày 13/12/2020 của Hội đồng nhân dân tỉnh Bà Rịa – Vũng Tàu quy định mức thu, nộp, quản lý và sử dụng phí tham quan</w:t>
      </w:r>
      <w:r>
        <w:rPr>
          <w:rFonts w:ascii="Times New Roman" w:hAnsi="Times New Roman" w:cs="Times New Roman"/>
          <w:sz w:val="28"/>
          <w:szCs w:val="28"/>
        </w:rPr>
        <w:t xml:space="preserve"> Nhà Bảo tàng Bà Rịa – Vũng Tàu</w:t>
      </w:r>
      <w:r>
        <w:rPr>
          <w:rFonts w:ascii="Times New Roman" w:hAnsi="Times New Roman" w:cs="Times New Roman"/>
          <w:sz w:val="28"/>
          <w:szCs w:val="28"/>
          <w:lang w:val="en-US"/>
        </w:rPr>
        <w:t>;</w:t>
      </w:r>
    </w:p>
    <w:p w14:paraId="61E9A036" w14:textId="6BFD72F7" w:rsidR="00CB17CA" w:rsidRPr="006F3174" w:rsidRDefault="006F3174" w:rsidP="006F3174">
      <w:pPr>
        <w:spacing w:before="80" w:after="80" w:line="264" w:lineRule="auto"/>
        <w:ind w:firstLine="720"/>
        <w:jc w:val="both"/>
        <w:rPr>
          <w:rFonts w:ascii="Times New Roman" w:hAnsi="Times New Roman" w:cs="Times New Roman"/>
          <w:sz w:val="28"/>
          <w:szCs w:val="28"/>
          <w:lang w:eastAsia="en-US"/>
        </w:rPr>
      </w:pPr>
      <w:r w:rsidRPr="006F3174">
        <w:rPr>
          <w:rFonts w:ascii="Times New Roman" w:hAnsi="Times New Roman" w:cs="Times New Roman"/>
          <w:sz w:val="28"/>
          <w:szCs w:val="28"/>
        </w:rPr>
        <w:t>Nghị quyết số 17/2017/NQ-HĐND ngày 13/7/2017 của Hội đồng nhân dân tỉnh Bà Rịa – Vũng Tàu về mức thu, nộp, quản lý và sử dụng phí tham quan di tích lịch sử Bạch Di</w:t>
      </w:r>
      <w:r>
        <w:rPr>
          <w:rFonts w:ascii="Times New Roman" w:hAnsi="Times New Roman" w:cs="Times New Roman"/>
          <w:sz w:val="28"/>
          <w:szCs w:val="28"/>
        </w:rPr>
        <w:t>nh tại tỉnh Bà Rịa – Vũng Tàu</w:t>
      </w:r>
      <w:r>
        <w:rPr>
          <w:rFonts w:ascii="Times New Roman" w:hAnsi="Times New Roman" w:cs="Times New Roman"/>
          <w:sz w:val="28"/>
          <w:szCs w:val="28"/>
          <w:lang w:val="en-US"/>
        </w:rPr>
        <w:t>.</w:t>
      </w:r>
      <w:r w:rsidRPr="006F3174">
        <w:rPr>
          <w:rFonts w:ascii="Times New Roman" w:hAnsi="Times New Roman" w:cs="Times New Roman"/>
          <w:sz w:val="28"/>
          <w:szCs w:val="28"/>
        </w:rPr>
        <w:t xml:space="preserve"> </w:t>
      </w:r>
    </w:p>
    <w:p w14:paraId="0A593100" w14:textId="2E8070BC" w:rsidR="004D6535" w:rsidRPr="004D6535" w:rsidRDefault="0005461A" w:rsidP="0005461A">
      <w:pPr>
        <w:pStyle w:val="ListParagraph"/>
        <w:tabs>
          <w:tab w:val="left" w:pos="1341"/>
        </w:tabs>
        <w:autoSpaceDE w:val="0"/>
        <w:autoSpaceDN w:val="0"/>
        <w:spacing w:before="120" w:after="120" w:line="245" w:lineRule="auto"/>
        <w:ind w:left="0" w:right="4" w:firstLine="709"/>
        <w:contextualSpacing w:val="0"/>
        <w:jc w:val="both"/>
        <w:rPr>
          <w:rFonts w:ascii="Times New Roman" w:hAnsi="Times New Roman" w:cs="Times New Roman"/>
          <w:color w:val="000000" w:themeColor="text1"/>
          <w:spacing w:val="2"/>
          <w:sz w:val="28"/>
          <w:szCs w:val="28"/>
          <w:lang w:val="en-US"/>
        </w:rPr>
      </w:pPr>
      <w:r w:rsidRPr="0005461A">
        <w:rPr>
          <w:rFonts w:ascii="Times New Roman" w:hAnsi="Times New Roman" w:cs="Times New Roman"/>
          <w:spacing w:val="2"/>
          <w:sz w:val="28"/>
          <w:szCs w:val="28"/>
          <w:lang w:val="sv-SE"/>
        </w:rPr>
        <w:t xml:space="preserve">Sau khi sáp nhập đơn vị hành chính cấp tỉnh </w:t>
      </w:r>
      <w:r w:rsidRPr="0005461A">
        <w:rPr>
          <w:rFonts w:ascii="Times New Roman" w:hAnsi="Times New Roman" w:cs="Times New Roman"/>
          <w:spacing w:val="2"/>
          <w:sz w:val="28"/>
          <w:szCs w:val="28"/>
        </w:rPr>
        <w:t xml:space="preserve">theo </w:t>
      </w:r>
      <w:r w:rsidRPr="0005461A">
        <w:rPr>
          <w:rFonts w:ascii="Times New Roman" w:hAnsi="Times New Roman" w:cs="Times New Roman"/>
          <w:color w:val="000000" w:themeColor="text1"/>
          <w:spacing w:val="2"/>
          <w:sz w:val="28"/>
          <w:szCs w:val="28"/>
        </w:rPr>
        <w:t xml:space="preserve">Nghị quyết số 202/2025/QH15 được Quốc hội thông qua ngày 12 tháng 6 năm 2025, Thành phố cần ban hành </w:t>
      </w:r>
      <w:r w:rsidR="004D6535" w:rsidRPr="004D6535">
        <w:rPr>
          <w:rFonts w:ascii="Times New Roman" w:hAnsi="Times New Roman" w:cs="Times New Roman"/>
          <w:color w:val="000000" w:themeColor="text1"/>
          <w:spacing w:val="2"/>
          <w:sz w:val="28"/>
          <w:szCs w:val="28"/>
          <w:lang w:val="en-US"/>
        </w:rPr>
        <w:t xml:space="preserve">Nghị quyết quy định phí tham quan các bảo tàng và di tích lịch sử - văn hóa </w:t>
      </w:r>
      <w:r w:rsidR="00585D63">
        <w:rPr>
          <w:rFonts w:ascii="Times New Roman" w:hAnsi="Times New Roman" w:cs="Times New Roman"/>
          <w:color w:val="000000" w:themeColor="text1"/>
          <w:spacing w:val="2"/>
          <w:sz w:val="28"/>
          <w:szCs w:val="28"/>
        </w:rPr>
        <w:t xml:space="preserve">trực thuộc </w:t>
      </w:r>
      <w:r w:rsidR="004D6535" w:rsidRPr="004D6535">
        <w:rPr>
          <w:rFonts w:ascii="Times New Roman" w:hAnsi="Times New Roman" w:cs="Times New Roman"/>
          <w:color w:val="000000" w:themeColor="text1"/>
          <w:spacing w:val="2"/>
          <w:sz w:val="28"/>
          <w:szCs w:val="28"/>
          <w:lang w:val="en-US"/>
        </w:rPr>
        <w:t>Sở Văn hóa và Thể thao Thành phố Hồ Chí Minh nhằm phù hợp với việc sáp nhập đơn vị hành chính trong đó tỉnh Bình Dương và tỉnh Bà Rịa – Vũng Tàu hợp nhất với Thành phố Hồ Chí Minh thành Thành phố Hồ Chí Minh mới, tạo sự phát triển của xã hội, tăng chất lượng phục vụ, nguồn thu từ phí tham quan góp phần tái đầu tư cho cơ sở vật chất, chuyên môn, giảm chi từ ngân sách; đáp ứng nhu cầu thực tiễn về phát triển ngành văn hóa của Thành phố.</w:t>
      </w:r>
    </w:p>
    <w:p w14:paraId="37D1A3D6" w14:textId="2BFD6231" w:rsidR="00201F68" w:rsidRDefault="00201F68" w:rsidP="004D6535">
      <w:pPr>
        <w:pStyle w:val="Normal1"/>
        <w:spacing w:before="100" w:after="100"/>
        <w:ind w:firstLine="567"/>
        <w:jc w:val="both"/>
        <w:rPr>
          <w:lang w:val="en-GB"/>
        </w:rPr>
      </w:pPr>
      <w:r w:rsidRPr="0005461A">
        <w:rPr>
          <w:lang w:val="en-GB"/>
        </w:rPr>
        <w:lastRenderedPageBreak/>
        <w:t>Trên cơ sở đó,</w:t>
      </w:r>
      <w:r w:rsidR="0005461A" w:rsidRPr="0005461A">
        <w:rPr>
          <w:lang w:val="en-GB"/>
        </w:rPr>
        <w:t xml:space="preserve"> Sở Văn hóa và Thể thao tham mưu</w:t>
      </w:r>
      <w:r w:rsidRPr="0005461A">
        <w:rPr>
          <w:lang w:val="en-GB"/>
        </w:rPr>
        <w:t xml:space="preserve"> Ủy ban nhân</w:t>
      </w:r>
      <w:r w:rsidRPr="009C5FB8">
        <w:rPr>
          <w:lang w:val="en-GB"/>
        </w:rPr>
        <w:t xml:space="preserve"> dân Thành phố xây dựng </w:t>
      </w:r>
      <w:r w:rsidRPr="009C5FB8">
        <w:rPr>
          <w:bCs/>
          <w:lang w:val="en-GB"/>
        </w:rPr>
        <w:t>Dự thảo</w:t>
      </w:r>
      <w:r w:rsidR="0005461A">
        <w:rPr>
          <w:bCs/>
          <w:lang w:val="en-GB"/>
        </w:rPr>
        <w:t xml:space="preserve"> </w:t>
      </w:r>
      <w:r w:rsidR="004D6535" w:rsidRPr="004D6535">
        <w:rPr>
          <w:bCs/>
          <w:lang w:val="en-GB"/>
        </w:rPr>
        <w:t xml:space="preserve">Nghị quyết quy định phí tham quan các bảo tàng và di tích lịch sử - văn hóa </w:t>
      </w:r>
      <w:r w:rsidR="00585D63">
        <w:rPr>
          <w:bCs/>
          <w:lang w:val="vi-VN"/>
        </w:rPr>
        <w:t xml:space="preserve">trực thuộc </w:t>
      </w:r>
      <w:r w:rsidR="004D6535" w:rsidRPr="004D6535">
        <w:rPr>
          <w:bCs/>
          <w:lang w:val="en-GB"/>
        </w:rPr>
        <w:t>Sở Văn hóa và Thể thao Thành phố Hồ Chí Minh</w:t>
      </w:r>
      <w:r w:rsidRPr="009C5FB8">
        <w:rPr>
          <w:lang w:val="en-GB"/>
        </w:rPr>
        <w:t xml:space="preserve">, đồng thời thực hiện </w:t>
      </w:r>
      <w:r w:rsidRPr="009C5FB8">
        <w:rPr>
          <w:bCs/>
          <w:lang w:val="en-GB"/>
        </w:rPr>
        <w:t>Bản so sánh, thuyết minh nội dung dự thảo theo quy định</w:t>
      </w:r>
      <w:r w:rsidRPr="009C5FB8">
        <w:rPr>
          <w:lang w:val="en-GB"/>
        </w:rPr>
        <w:t>. Kết quả cụ thể như sau:</w:t>
      </w:r>
    </w:p>
    <w:p w14:paraId="6C0206BD" w14:textId="77777777" w:rsidR="00756642" w:rsidRPr="004D6535" w:rsidRDefault="00756642" w:rsidP="004D6535">
      <w:pPr>
        <w:pStyle w:val="Normal1"/>
        <w:spacing w:before="100" w:after="100"/>
        <w:ind w:firstLine="567"/>
        <w:jc w:val="both"/>
        <w:rPr>
          <w:bCs/>
          <w:lang w:val="en-GB"/>
        </w:rPr>
      </w:pPr>
    </w:p>
    <w:tbl>
      <w:tblPr>
        <w:tblStyle w:val="TableGrid"/>
        <w:tblW w:w="13468" w:type="dxa"/>
        <w:tblInd w:w="562" w:type="dxa"/>
        <w:tblLook w:val="04A0" w:firstRow="1" w:lastRow="0" w:firstColumn="1" w:lastColumn="0" w:noHBand="0" w:noVBand="1"/>
      </w:tblPr>
      <w:tblGrid>
        <w:gridCol w:w="2694"/>
        <w:gridCol w:w="2693"/>
        <w:gridCol w:w="2551"/>
        <w:gridCol w:w="2552"/>
        <w:gridCol w:w="2978"/>
      </w:tblGrid>
      <w:tr w:rsidR="00477C54" w:rsidRPr="009C5FB8" w14:paraId="1C542812" w14:textId="77777777" w:rsidTr="00C175D4">
        <w:tc>
          <w:tcPr>
            <w:tcW w:w="2694" w:type="dxa"/>
            <w:shd w:val="clear" w:color="auto" w:fill="FFFFFF"/>
          </w:tcPr>
          <w:p w14:paraId="1D54B382" w14:textId="136E90B1" w:rsidR="00477C54" w:rsidRPr="009C5FB8" w:rsidRDefault="00477C54" w:rsidP="00477C54">
            <w:pPr>
              <w:spacing w:before="60" w:after="60"/>
              <w:jc w:val="center"/>
              <w:rPr>
                <w:rFonts w:ascii="Times New Roman" w:hAnsi="Times New Roman" w:cs="Times New Roman"/>
                <w:bCs/>
                <w:color w:val="auto"/>
                <w:spacing w:val="-4"/>
                <w:sz w:val="20"/>
                <w:szCs w:val="20"/>
                <w:lang w:val="en-US"/>
              </w:rPr>
            </w:pPr>
            <w:r w:rsidRPr="009C5FB8">
              <w:rPr>
                <w:rFonts w:ascii="Times New Roman" w:hAnsi="Times New Roman" w:cs="Times New Roman"/>
                <w:b/>
                <w:bCs/>
                <w:color w:val="auto"/>
                <w:sz w:val="20"/>
                <w:szCs w:val="20"/>
              </w:rPr>
              <w:t xml:space="preserve">VĂN BẢN </w:t>
            </w:r>
            <w:r w:rsidRPr="009C5FB8">
              <w:rPr>
                <w:rFonts w:ascii="Times New Roman" w:hAnsi="Times New Roman" w:cs="Times New Roman"/>
                <w:b/>
                <w:bCs/>
                <w:color w:val="auto"/>
                <w:sz w:val="20"/>
                <w:szCs w:val="20"/>
                <w:lang w:val="en-US"/>
              </w:rPr>
              <w:t>QUY PHẠM PHÁP LUẬT HIỆN HÀNH TẠI THÀNH PHỐ HỒ CHÍ MINH</w:t>
            </w:r>
          </w:p>
        </w:tc>
        <w:tc>
          <w:tcPr>
            <w:tcW w:w="2693" w:type="dxa"/>
            <w:shd w:val="clear" w:color="auto" w:fill="FFFFFF"/>
            <w:vAlign w:val="center"/>
          </w:tcPr>
          <w:p w14:paraId="00870F67" w14:textId="197E4CCA" w:rsidR="00477C54" w:rsidRPr="009C5FB8" w:rsidRDefault="00477C54" w:rsidP="005510E4">
            <w:pPr>
              <w:spacing w:before="60" w:after="60"/>
              <w:jc w:val="center"/>
              <w:rPr>
                <w:rFonts w:ascii="Times New Roman" w:hAnsi="Times New Roman" w:cs="Times New Roman"/>
                <w:b/>
                <w:bCs/>
                <w:color w:val="auto"/>
                <w:sz w:val="20"/>
                <w:szCs w:val="20"/>
                <w:lang w:val="en-US"/>
              </w:rPr>
            </w:pPr>
            <w:r w:rsidRPr="009C5FB8">
              <w:rPr>
                <w:rFonts w:ascii="Times New Roman" w:hAnsi="Times New Roman" w:cs="Times New Roman"/>
                <w:bCs/>
                <w:color w:val="auto"/>
                <w:spacing w:val="-4"/>
                <w:sz w:val="20"/>
                <w:szCs w:val="20"/>
                <w:lang w:val="en-US"/>
              </w:rPr>
              <w:br w:type="page"/>
            </w:r>
            <w:r w:rsidRPr="009C5FB8">
              <w:rPr>
                <w:rFonts w:ascii="Times New Roman" w:hAnsi="Times New Roman" w:cs="Times New Roman"/>
                <w:b/>
                <w:bCs/>
                <w:color w:val="auto"/>
                <w:sz w:val="20"/>
                <w:szCs w:val="20"/>
              </w:rPr>
              <w:t xml:space="preserve">VĂN BẢN </w:t>
            </w:r>
            <w:r w:rsidRPr="009C5FB8">
              <w:rPr>
                <w:rFonts w:ascii="Times New Roman" w:hAnsi="Times New Roman" w:cs="Times New Roman"/>
                <w:b/>
                <w:bCs/>
                <w:color w:val="auto"/>
                <w:sz w:val="20"/>
                <w:szCs w:val="20"/>
                <w:lang w:val="en-US"/>
              </w:rPr>
              <w:t>QUY PHẠM PHÁP LUẬT HIỆN HÀNH TẠI TỈNH BÌNH DƯƠNG</w:t>
            </w:r>
          </w:p>
        </w:tc>
        <w:tc>
          <w:tcPr>
            <w:tcW w:w="2551" w:type="dxa"/>
            <w:shd w:val="clear" w:color="auto" w:fill="FFFFFF"/>
          </w:tcPr>
          <w:p w14:paraId="17BB2371" w14:textId="70F98BE3" w:rsidR="00477C54" w:rsidRPr="009C5FB8" w:rsidRDefault="00477C54" w:rsidP="005510E4">
            <w:pPr>
              <w:spacing w:before="60" w:after="60"/>
              <w:jc w:val="center"/>
              <w:rPr>
                <w:rFonts w:ascii="Times New Roman" w:hAnsi="Times New Roman" w:cs="Times New Roman"/>
                <w:b/>
                <w:bCs/>
                <w:color w:val="auto"/>
                <w:sz w:val="20"/>
                <w:szCs w:val="20"/>
              </w:rPr>
            </w:pPr>
            <w:r w:rsidRPr="009C5FB8">
              <w:rPr>
                <w:rFonts w:ascii="Times New Roman" w:hAnsi="Times New Roman" w:cs="Times New Roman"/>
                <w:b/>
                <w:bCs/>
                <w:color w:val="auto"/>
                <w:sz w:val="20"/>
                <w:szCs w:val="20"/>
              </w:rPr>
              <w:t xml:space="preserve">VĂN BẢN </w:t>
            </w:r>
            <w:r w:rsidRPr="009C5FB8">
              <w:rPr>
                <w:rFonts w:ascii="Times New Roman" w:hAnsi="Times New Roman" w:cs="Times New Roman"/>
                <w:b/>
                <w:bCs/>
                <w:color w:val="auto"/>
                <w:sz w:val="20"/>
                <w:szCs w:val="20"/>
                <w:lang w:val="en-US"/>
              </w:rPr>
              <w:t>QUY PHẠM PHÁP LUẬT HIỆN HÀNH TẠI TỈNH BÀ RỊA – VŨNG TÀU</w:t>
            </w:r>
          </w:p>
        </w:tc>
        <w:tc>
          <w:tcPr>
            <w:tcW w:w="2552" w:type="dxa"/>
            <w:shd w:val="clear" w:color="auto" w:fill="FFFFFF"/>
            <w:vAlign w:val="center"/>
          </w:tcPr>
          <w:p w14:paraId="5866A0E8" w14:textId="7C4C5739" w:rsidR="00477C54" w:rsidRPr="009C5FB8" w:rsidRDefault="00477C54" w:rsidP="005510E4">
            <w:pPr>
              <w:spacing w:before="60" w:after="60"/>
              <w:jc w:val="center"/>
              <w:rPr>
                <w:rFonts w:ascii="Times New Roman" w:hAnsi="Times New Roman" w:cs="Times New Roman"/>
                <w:b/>
                <w:bCs/>
                <w:color w:val="auto"/>
                <w:sz w:val="20"/>
                <w:szCs w:val="20"/>
                <w:lang w:val="en-US"/>
              </w:rPr>
            </w:pPr>
            <w:r w:rsidRPr="009C5FB8">
              <w:rPr>
                <w:rFonts w:ascii="Times New Roman" w:hAnsi="Times New Roman" w:cs="Times New Roman"/>
                <w:b/>
                <w:bCs/>
                <w:color w:val="auto"/>
                <w:sz w:val="20"/>
                <w:szCs w:val="20"/>
              </w:rPr>
              <w:t>D</w:t>
            </w:r>
            <w:r w:rsidRPr="009C5FB8">
              <w:rPr>
                <w:rFonts w:ascii="Times New Roman" w:hAnsi="Times New Roman" w:cs="Times New Roman"/>
                <w:b/>
                <w:bCs/>
                <w:color w:val="auto"/>
                <w:sz w:val="20"/>
                <w:szCs w:val="20"/>
                <w:lang w:val="en-US"/>
              </w:rPr>
              <w:t>Ự</w:t>
            </w:r>
            <w:r w:rsidRPr="009C5FB8">
              <w:rPr>
                <w:rFonts w:ascii="Times New Roman" w:hAnsi="Times New Roman" w:cs="Times New Roman"/>
                <w:b/>
                <w:bCs/>
                <w:color w:val="auto"/>
                <w:sz w:val="20"/>
                <w:szCs w:val="20"/>
              </w:rPr>
              <w:t xml:space="preserve"> THẢO VĂN BẢN</w:t>
            </w:r>
            <w:r w:rsidRPr="009C5FB8">
              <w:rPr>
                <w:rFonts w:ascii="Times New Roman" w:hAnsi="Times New Roman" w:cs="Times New Roman"/>
                <w:b/>
                <w:bCs/>
                <w:color w:val="auto"/>
                <w:sz w:val="20"/>
                <w:szCs w:val="20"/>
                <w:lang w:val="en-US"/>
              </w:rPr>
              <w:t xml:space="preserve"> QUY PHẠM PHÁP LUẬT SỬA ĐỔI, BỔ SUNG, THAY THẾ</w:t>
            </w:r>
          </w:p>
        </w:tc>
        <w:tc>
          <w:tcPr>
            <w:tcW w:w="2978" w:type="dxa"/>
            <w:shd w:val="clear" w:color="auto" w:fill="FFFFFF"/>
            <w:vAlign w:val="center"/>
          </w:tcPr>
          <w:p w14:paraId="7437D0DA" w14:textId="77777777" w:rsidR="00477C54" w:rsidRPr="009C5FB8" w:rsidRDefault="00477C54" w:rsidP="005510E4">
            <w:pPr>
              <w:spacing w:before="60" w:after="60"/>
              <w:jc w:val="center"/>
              <w:rPr>
                <w:rFonts w:ascii="Times New Roman" w:hAnsi="Times New Roman" w:cs="Times New Roman"/>
                <w:b/>
                <w:bCs/>
                <w:color w:val="auto"/>
                <w:sz w:val="20"/>
                <w:szCs w:val="20"/>
              </w:rPr>
            </w:pPr>
            <w:r w:rsidRPr="009C5FB8">
              <w:rPr>
                <w:rFonts w:ascii="Times New Roman" w:hAnsi="Times New Roman" w:cs="Times New Roman"/>
                <w:b/>
                <w:bCs/>
                <w:color w:val="auto"/>
                <w:sz w:val="20"/>
                <w:szCs w:val="20"/>
              </w:rPr>
              <w:t>THUYẾT MINH</w:t>
            </w:r>
          </w:p>
        </w:tc>
      </w:tr>
      <w:tr w:rsidR="003E458E" w:rsidRPr="009C5FB8" w14:paraId="7E49F059" w14:textId="77777777" w:rsidTr="00C175D4">
        <w:tc>
          <w:tcPr>
            <w:tcW w:w="2694" w:type="dxa"/>
            <w:vMerge w:val="restart"/>
            <w:shd w:val="clear" w:color="auto" w:fill="FFFFFF"/>
          </w:tcPr>
          <w:p w14:paraId="4F7F0318" w14:textId="553BD2AE" w:rsidR="003E458E" w:rsidRPr="009C5FB8" w:rsidRDefault="003E458E" w:rsidP="00AA112B">
            <w:pPr>
              <w:spacing w:before="60" w:after="60"/>
              <w:jc w:val="center"/>
              <w:rPr>
                <w:rFonts w:ascii="Times New Roman" w:hAnsi="Times New Roman" w:cs="Times New Roman"/>
                <w:spacing w:val="-2"/>
              </w:rPr>
            </w:pPr>
            <w:r w:rsidRPr="009C5C8F">
              <w:rPr>
                <w:rFonts w:ascii="Times New Roman" w:hAnsi="Times New Roman" w:cs="Times New Roman"/>
                <w:spacing w:val="-2"/>
              </w:rPr>
              <w:t>Nghị quyết số 16/2017/NQ-HĐND  ngày 7/12/2017 của Hội đồng nhân dân Thành phố Hồ Chí Minh về ban hành mức thu phí tham quan các bảo tàng thuộc Sở Văn hóa và Thể thao quản lý</w:t>
            </w:r>
          </w:p>
        </w:tc>
        <w:tc>
          <w:tcPr>
            <w:tcW w:w="2693" w:type="dxa"/>
            <w:vMerge w:val="restart"/>
            <w:shd w:val="clear" w:color="auto" w:fill="FFFFFF"/>
            <w:vAlign w:val="center"/>
          </w:tcPr>
          <w:p w14:paraId="56A68476" w14:textId="4CED7B7F" w:rsidR="003E458E" w:rsidRPr="009C5FB8" w:rsidRDefault="003E458E" w:rsidP="00E21739">
            <w:pPr>
              <w:jc w:val="both"/>
              <w:rPr>
                <w:rFonts w:ascii="Times New Roman" w:hAnsi="Times New Roman" w:cs="Times New Roman"/>
              </w:rPr>
            </w:pPr>
            <w:r w:rsidRPr="009C5C8F">
              <w:rPr>
                <w:rFonts w:ascii="Times New Roman" w:hAnsi="Times New Roman" w:cs="Times New Roman"/>
              </w:rPr>
              <w:t>Nghị quyết số 05/2020/NQ-HĐND ngày 20/7/2020 của Hội đồng nhân dân tỉnh Bình Dương quy định phí tham quan di tích lịch sử, danh lam thắng cảnh và Bảo tàng trên địa bàn tỉnh Bình Dương</w:t>
            </w:r>
          </w:p>
        </w:tc>
        <w:tc>
          <w:tcPr>
            <w:tcW w:w="2551" w:type="dxa"/>
            <w:shd w:val="clear" w:color="auto" w:fill="FFFFFF"/>
            <w:vAlign w:val="center"/>
          </w:tcPr>
          <w:p w14:paraId="4D348D6A" w14:textId="4880036C" w:rsidR="003E458E" w:rsidRPr="009C5FB8" w:rsidRDefault="003E458E" w:rsidP="00AA112B">
            <w:pPr>
              <w:spacing w:before="60" w:after="60"/>
              <w:jc w:val="center"/>
              <w:rPr>
                <w:rFonts w:ascii="Times New Roman" w:hAnsi="Times New Roman" w:cs="Times New Roman"/>
                <w:spacing w:val="-2"/>
              </w:rPr>
            </w:pPr>
            <w:r w:rsidRPr="009C5C8F">
              <w:rPr>
                <w:rFonts w:ascii="Times New Roman" w:hAnsi="Times New Roman" w:cs="Times New Roman"/>
                <w:spacing w:val="-2"/>
              </w:rPr>
              <w:t>Nghị quyết số 17/2017/NQ-HĐND ngày 13/7/2017 của Hội đồng nhân dân tỉnh Bà Rịa – Vũng Tàu về mức thu, nộp, quản lý và sử dụng phí tham quan di tích lịch sử Bạch Dinh tại tỉnh Bà Rịa – Vũng Tàu</w:t>
            </w:r>
          </w:p>
        </w:tc>
        <w:tc>
          <w:tcPr>
            <w:tcW w:w="2552" w:type="dxa"/>
            <w:vMerge w:val="restart"/>
            <w:shd w:val="clear" w:color="auto" w:fill="FFFFFF"/>
            <w:vAlign w:val="center"/>
          </w:tcPr>
          <w:p w14:paraId="74220095" w14:textId="246C5A80" w:rsidR="003E458E" w:rsidRPr="009C5FB8" w:rsidRDefault="003E458E" w:rsidP="00477C54">
            <w:pPr>
              <w:spacing w:before="60" w:after="60"/>
              <w:jc w:val="center"/>
              <w:rPr>
                <w:rFonts w:ascii="Times New Roman" w:hAnsi="Times New Roman" w:cs="Times New Roman"/>
                <w:iCs/>
                <w:spacing w:val="6"/>
                <w:lang w:val="en-US"/>
              </w:rPr>
            </w:pPr>
            <w:r w:rsidRPr="009C5C8F">
              <w:rPr>
                <w:rFonts w:ascii="Times New Roman" w:hAnsi="Times New Roman" w:cs="Times New Roman"/>
                <w:iCs/>
                <w:spacing w:val="6"/>
                <w:lang w:val="en-US"/>
              </w:rPr>
              <w:t>Dự thảo Nghị quyết quy định phí tham quan các bảo tàng và di tích lịch sử - văn hóa do Sở Văn hóa và Thể thao Thành phố Hồ Chí Minh quản lý</w:t>
            </w:r>
          </w:p>
        </w:tc>
        <w:tc>
          <w:tcPr>
            <w:tcW w:w="2978" w:type="dxa"/>
            <w:vMerge w:val="restart"/>
            <w:shd w:val="clear" w:color="auto" w:fill="FFFFFF"/>
            <w:vAlign w:val="center"/>
          </w:tcPr>
          <w:p w14:paraId="08B74F81" w14:textId="29C6F99D" w:rsidR="003E458E" w:rsidRDefault="0083248F" w:rsidP="0083248F">
            <w:pPr>
              <w:spacing w:before="60" w:after="60"/>
              <w:jc w:val="both"/>
              <w:rPr>
                <w:rFonts w:ascii="Times New Roman" w:hAnsi="Times New Roman" w:cs="Times New Roman"/>
                <w:color w:val="auto"/>
                <w:lang w:val="en-US"/>
              </w:rPr>
            </w:pPr>
            <w:r w:rsidRPr="009C5FB8">
              <w:rPr>
                <w:rFonts w:ascii="Times New Roman" w:hAnsi="Times New Roman" w:cs="Times New Roman"/>
                <w:color w:val="auto"/>
                <w:lang w:val="en-US"/>
              </w:rPr>
              <w:t>Kế thừa các</w:t>
            </w:r>
            <w:r>
              <w:rPr>
                <w:rFonts w:ascii="Times New Roman" w:hAnsi="Times New Roman" w:cs="Times New Roman"/>
                <w:color w:val="auto"/>
                <w:lang w:val="en-US"/>
              </w:rPr>
              <w:t xml:space="preserve"> Nghị quyết trước đây để xây dựng ban hành Nghị quyết quy định phí tham quan các bảo tàng và di tích lịch sử - văn hóa do Sở Văn hóa và Thể thao quản lý (Thành phố Hồ Chí Minh mới), đồng thời b</w:t>
            </w:r>
            <w:r w:rsidR="003E458E">
              <w:rPr>
                <w:rFonts w:ascii="Times New Roman" w:hAnsi="Times New Roman" w:cs="Times New Roman"/>
                <w:color w:val="auto"/>
                <w:lang w:val="en-US"/>
              </w:rPr>
              <w:t xml:space="preserve">ãi bỏ toàn bộ 05 nghị quyết </w:t>
            </w:r>
            <w:r w:rsidR="003E458E" w:rsidRPr="009C5C8F">
              <w:rPr>
                <w:rFonts w:ascii="Times New Roman" w:hAnsi="Times New Roman" w:cs="Times New Roman"/>
                <w:color w:val="auto"/>
                <w:lang w:val="en-US"/>
              </w:rPr>
              <w:t>trước đây của Thành phố Hồ Chí Minh, Bình Dương và Bà Rịa – Vũng Tàu</w:t>
            </w:r>
          </w:p>
          <w:p w14:paraId="15D4E0B9" w14:textId="77777777" w:rsidR="002741AA" w:rsidRDefault="002741AA" w:rsidP="00477C54">
            <w:pPr>
              <w:spacing w:before="60" w:after="60"/>
              <w:jc w:val="center"/>
              <w:rPr>
                <w:rFonts w:ascii="Times New Roman" w:hAnsi="Times New Roman" w:cs="Times New Roman"/>
                <w:color w:val="auto"/>
                <w:lang w:val="en-US"/>
              </w:rPr>
            </w:pPr>
          </w:p>
          <w:p w14:paraId="577D559B" w14:textId="2982B134" w:rsidR="002741AA" w:rsidRPr="009C5FB8" w:rsidRDefault="002741AA" w:rsidP="00477C54">
            <w:pPr>
              <w:spacing w:before="60" w:after="60"/>
              <w:jc w:val="center"/>
              <w:rPr>
                <w:rFonts w:ascii="Times New Roman" w:hAnsi="Times New Roman" w:cs="Times New Roman"/>
                <w:color w:val="auto"/>
                <w:lang w:val="en-US"/>
              </w:rPr>
            </w:pPr>
          </w:p>
        </w:tc>
      </w:tr>
      <w:tr w:rsidR="003E458E" w:rsidRPr="009C5FB8" w14:paraId="70BE85C2" w14:textId="77777777" w:rsidTr="00C175D4">
        <w:tc>
          <w:tcPr>
            <w:tcW w:w="2694" w:type="dxa"/>
            <w:vMerge/>
            <w:shd w:val="clear" w:color="auto" w:fill="FFFFFF"/>
          </w:tcPr>
          <w:p w14:paraId="69614B37" w14:textId="77777777" w:rsidR="003E458E" w:rsidRPr="009C5FB8" w:rsidRDefault="003E458E" w:rsidP="00AA112B">
            <w:pPr>
              <w:spacing w:before="60" w:after="60"/>
              <w:jc w:val="center"/>
              <w:rPr>
                <w:rFonts w:ascii="Times New Roman" w:hAnsi="Times New Roman" w:cs="Times New Roman"/>
                <w:spacing w:val="-2"/>
              </w:rPr>
            </w:pPr>
          </w:p>
        </w:tc>
        <w:tc>
          <w:tcPr>
            <w:tcW w:w="2693" w:type="dxa"/>
            <w:vMerge/>
            <w:shd w:val="clear" w:color="auto" w:fill="FFFFFF"/>
            <w:vAlign w:val="center"/>
          </w:tcPr>
          <w:p w14:paraId="548F5B9D" w14:textId="77777777" w:rsidR="003E458E" w:rsidRPr="009C5FB8" w:rsidRDefault="003E458E" w:rsidP="00AA112B">
            <w:pPr>
              <w:spacing w:before="60" w:after="60"/>
              <w:jc w:val="center"/>
              <w:rPr>
                <w:rFonts w:ascii="Times New Roman" w:hAnsi="Times New Roman" w:cs="Times New Roman"/>
              </w:rPr>
            </w:pPr>
          </w:p>
        </w:tc>
        <w:tc>
          <w:tcPr>
            <w:tcW w:w="2551" w:type="dxa"/>
            <w:shd w:val="clear" w:color="auto" w:fill="FFFFFF"/>
            <w:vAlign w:val="center"/>
          </w:tcPr>
          <w:p w14:paraId="1ABA7FB0" w14:textId="35434496" w:rsidR="003E458E" w:rsidRPr="009C5FB8" w:rsidRDefault="003E458E" w:rsidP="00AA112B">
            <w:pPr>
              <w:spacing w:before="60" w:after="60"/>
              <w:jc w:val="center"/>
              <w:rPr>
                <w:rFonts w:ascii="Times New Roman" w:hAnsi="Times New Roman" w:cs="Times New Roman"/>
                <w:spacing w:val="-2"/>
              </w:rPr>
            </w:pPr>
            <w:r w:rsidRPr="009C5C8F">
              <w:rPr>
                <w:rFonts w:ascii="Times New Roman" w:hAnsi="Times New Roman" w:cs="Times New Roman"/>
                <w:spacing w:val="-2"/>
              </w:rPr>
              <w:t>Nghị quyết số 03/2020/NQ-HĐND ngày 04/8/2020 của Hội đồng nhân dân tỉnh Bà Rịa – Vũng Tàu quy định mức thu, nộp, quản lý và sử dụng phí tham quan Khu di tích lịch sử quốc gia đặc biệt nhà tù Côn Đảo và Bảo tàng Côn Đảo tỉnh Bà Rịa – Vũng Tàu</w:t>
            </w:r>
          </w:p>
        </w:tc>
        <w:tc>
          <w:tcPr>
            <w:tcW w:w="2552" w:type="dxa"/>
            <w:vMerge/>
            <w:shd w:val="clear" w:color="auto" w:fill="FFFFFF"/>
            <w:vAlign w:val="center"/>
          </w:tcPr>
          <w:p w14:paraId="7FC13AC1" w14:textId="77777777" w:rsidR="003E458E" w:rsidRPr="009C5FB8" w:rsidRDefault="003E458E" w:rsidP="00477C54">
            <w:pPr>
              <w:spacing w:before="60" w:after="60"/>
              <w:jc w:val="center"/>
              <w:rPr>
                <w:rFonts w:ascii="Times New Roman" w:hAnsi="Times New Roman" w:cs="Times New Roman"/>
                <w:iCs/>
                <w:spacing w:val="6"/>
                <w:lang w:val="en-US"/>
              </w:rPr>
            </w:pPr>
          </w:p>
        </w:tc>
        <w:tc>
          <w:tcPr>
            <w:tcW w:w="2978" w:type="dxa"/>
            <w:vMerge/>
            <w:shd w:val="clear" w:color="auto" w:fill="FFFFFF"/>
            <w:vAlign w:val="center"/>
          </w:tcPr>
          <w:p w14:paraId="32F80AAE" w14:textId="77777777" w:rsidR="003E458E" w:rsidRPr="009C5FB8" w:rsidRDefault="003E458E" w:rsidP="00477C54">
            <w:pPr>
              <w:spacing w:before="60" w:after="60"/>
              <w:jc w:val="center"/>
              <w:rPr>
                <w:rFonts w:ascii="Times New Roman" w:hAnsi="Times New Roman" w:cs="Times New Roman"/>
                <w:color w:val="auto"/>
                <w:lang w:val="en-US"/>
              </w:rPr>
            </w:pPr>
          </w:p>
        </w:tc>
      </w:tr>
      <w:tr w:rsidR="003E458E" w:rsidRPr="009C5FB8" w14:paraId="65D1C163" w14:textId="77777777" w:rsidTr="00756642">
        <w:trPr>
          <w:trHeight w:val="2501"/>
        </w:trPr>
        <w:tc>
          <w:tcPr>
            <w:tcW w:w="2694" w:type="dxa"/>
            <w:vMerge/>
            <w:shd w:val="clear" w:color="auto" w:fill="FFFFFF"/>
          </w:tcPr>
          <w:p w14:paraId="58DD5A18" w14:textId="77777777" w:rsidR="003E458E" w:rsidRPr="009C5FB8" w:rsidRDefault="003E458E" w:rsidP="00AA112B">
            <w:pPr>
              <w:spacing w:before="60" w:after="60"/>
              <w:jc w:val="center"/>
              <w:rPr>
                <w:rFonts w:ascii="Times New Roman" w:hAnsi="Times New Roman" w:cs="Times New Roman"/>
                <w:spacing w:val="-2"/>
              </w:rPr>
            </w:pPr>
          </w:p>
        </w:tc>
        <w:tc>
          <w:tcPr>
            <w:tcW w:w="2693" w:type="dxa"/>
            <w:vMerge/>
            <w:shd w:val="clear" w:color="auto" w:fill="FFFFFF"/>
            <w:vAlign w:val="center"/>
          </w:tcPr>
          <w:p w14:paraId="3ED631BF" w14:textId="77777777" w:rsidR="003E458E" w:rsidRPr="009C5FB8" w:rsidRDefault="003E458E" w:rsidP="00AA112B">
            <w:pPr>
              <w:spacing w:before="60" w:after="60"/>
              <w:jc w:val="center"/>
              <w:rPr>
                <w:rFonts w:ascii="Times New Roman" w:hAnsi="Times New Roman" w:cs="Times New Roman"/>
              </w:rPr>
            </w:pPr>
          </w:p>
        </w:tc>
        <w:tc>
          <w:tcPr>
            <w:tcW w:w="2551" w:type="dxa"/>
            <w:shd w:val="clear" w:color="auto" w:fill="FFFFFF"/>
            <w:vAlign w:val="center"/>
          </w:tcPr>
          <w:p w14:paraId="3A3F3CDC" w14:textId="2F8474A6" w:rsidR="003E458E" w:rsidRPr="009C5FB8" w:rsidRDefault="003E458E" w:rsidP="00756642">
            <w:pPr>
              <w:spacing w:before="60" w:after="60"/>
              <w:jc w:val="center"/>
              <w:rPr>
                <w:rFonts w:ascii="Times New Roman" w:hAnsi="Times New Roman" w:cs="Times New Roman"/>
                <w:spacing w:val="-2"/>
              </w:rPr>
            </w:pPr>
            <w:r w:rsidRPr="009C5C8F">
              <w:rPr>
                <w:rFonts w:ascii="Times New Roman" w:hAnsi="Times New Roman" w:cs="Times New Roman"/>
                <w:spacing w:val="-2"/>
              </w:rPr>
              <w:t>Nghị quyết số 12/2020/NQ-HĐND ngày 13/12/2020 của Hội đồng nhân dân tỉnh Bà Rịa – Vũng Tàu quy định mức thu, nộp, quản lý và sử dụng phí tham quan Nhà Bảo tàng Bà Rịa – Vũng Tàu</w:t>
            </w:r>
          </w:p>
        </w:tc>
        <w:tc>
          <w:tcPr>
            <w:tcW w:w="2552" w:type="dxa"/>
            <w:vMerge/>
            <w:shd w:val="clear" w:color="auto" w:fill="FFFFFF"/>
            <w:vAlign w:val="center"/>
          </w:tcPr>
          <w:p w14:paraId="270EA0E9" w14:textId="77777777" w:rsidR="003E458E" w:rsidRPr="009C5FB8" w:rsidRDefault="003E458E" w:rsidP="00477C54">
            <w:pPr>
              <w:spacing w:before="60" w:after="60"/>
              <w:jc w:val="center"/>
              <w:rPr>
                <w:rFonts w:ascii="Times New Roman" w:hAnsi="Times New Roman" w:cs="Times New Roman"/>
                <w:iCs/>
                <w:spacing w:val="6"/>
                <w:lang w:val="en-US"/>
              </w:rPr>
            </w:pPr>
          </w:p>
        </w:tc>
        <w:tc>
          <w:tcPr>
            <w:tcW w:w="2978" w:type="dxa"/>
            <w:vMerge/>
            <w:shd w:val="clear" w:color="auto" w:fill="FFFFFF"/>
            <w:vAlign w:val="center"/>
          </w:tcPr>
          <w:p w14:paraId="773FCE14" w14:textId="77777777" w:rsidR="003E458E" w:rsidRPr="009C5FB8" w:rsidRDefault="003E458E" w:rsidP="00477C54">
            <w:pPr>
              <w:spacing w:before="60" w:after="60"/>
              <w:jc w:val="center"/>
              <w:rPr>
                <w:rFonts w:ascii="Times New Roman" w:hAnsi="Times New Roman" w:cs="Times New Roman"/>
                <w:color w:val="auto"/>
                <w:lang w:val="en-US"/>
              </w:rPr>
            </w:pPr>
          </w:p>
        </w:tc>
      </w:tr>
      <w:tr w:rsidR="009C5FB8" w:rsidRPr="009C5FB8" w14:paraId="3906BBAE" w14:textId="77777777" w:rsidTr="00C175D4">
        <w:trPr>
          <w:trHeight w:val="156"/>
        </w:trPr>
        <w:tc>
          <w:tcPr>
            <w:tcW w:w="2694" w:type="dxa"/>
            <w:shd w:val="clear" w:color="auto" w:fill="FFFFFF"/>
            <w:vAlign w:val="center"/>
          </w:tcPr>
          <w:p w14:paraId="0C7B50E8" w14:textId="74E1803B" w:rsidR="009C5FB8" w:rsidRPr="00FC18A5" w:rsidRDefault="009C5FB8" w:rsidP="00FC18A5">
            <w:pPr>
              <w:spacing w:before="60" w:after="60"/>
              <w:jc w:val="both"/>
              <w:rPr>
                <w:rFonts w:ascii="Times New Roman" w:hAnsi="Times New Roman" w:cs="Times New Roman"/>
                <w:bCs/>
                <w:color w:val="auto"/>
                <w:sz w:val="20"/>
                <w:szCs w:val="20"/>
                <w:lang w:val="en-US"/>
              </w:rPr>
            </w:pPr>
            <w:r w:rsidRPr="009C5FB8">
              <w:rPr>
                <w:rFonts w:ascii="Times New Roman" w:hAnsi="Times New Roman" w:cs="Times New Roman"/>
                <w:bCs/>
                <w:color w:val="auto"/>
                <w:lang w:val="en-US"/>
              </w:rPr>
              <w:lastRenderedPageBreak/>
              <w:t>Điều 1:</w:t>
            </w:r>
            <w:r w:rsidR="00FC18A5">
              <w:rPr>
                <w:rFonts w:ascii="Times New Roman" w:hAnsi="Times New Roman" w:cs="Times New Roman"/>
                <w:b/>
                <w:lang w:val="en-US"/>
              </w:rPr>
              <w:t xml:space="preserve"> </w:t>
            </w:r>
            <w:r w:rsidR="00FC18A5" w:rsidRPr="00FC18A5">
              <w:rPr>
                <w:rFonts w:ascii="Times New Roman" w:hAnsi="Times New Roman" w:cs="Times New Roman"/>
                <w:lang w:val="en-US"/>
              </w:rPr>
              <w:t xml:space="preserve">Mức </w:t>
            </w:r>
            <w:r w:rsidR="00FC18A5">
              <w:rPr>
                <w:rFonts w:ascii="Times New Roman" w:hAnsi="Times New Roman" w:cs="Times New Roman"/>
                <w:lang w:val="en-US"/>
              </w:rPr>
              <w:t xml:space="preserve">thu phí tham quan, </w:t>
            </w:r>
            <w:r w:rsidR="00FC18A5" w:rsidRPr="00FC18A5">
              <w:rPr>
                <w:rFonts w:ascii="Times New Roman" w:hAnsi="Times New Roman" w:cs="Times New Roman"/>
                <w:lang w:val="en-US"/>
              </w:rPr>
              <w:t>Đối tượng miễn, giảm phí tham quan</w:t>
            </w:r>
            <w:r w:rsidR="00FC18A5">
              <w:rPr>
                <w:rFonts w:ascii="Times New Roman" w:hAnsi="Times New Roman" w:cs="Times New Roman"/>
                <w:lang w:val="en-US"/>
              </w:rPr>
              <w:t>, Tỷ lệ để lại, Quản lý phí và sử dụng nguồn thu</w:t>
            </w:r>
          </w:p>
        </w:tc>
        <w:tc>
          <w:tcPr>
            <w:tcW w:w="2693" w:type="dxa"/>
            <w:shd w:val="clear" w:color="auto" w:fill="FFFFFF"/>
            <w:vAlign w:val="center"/>
          </w:tcPr>
          <w:p w14:paraId="5C1D2729" w14:textId="201A554A" w:rsidR="009C5FB8" w:rsidRPr="00FC18A5" w:rsidRDefault="009C5FB8" w:rsidP="009C5FB8">
            <w:pPr>
              <w:spacing w:before="60" w:after="60"/>
              <w:jc w:val="both"/>
              <w:rPr>
                <w:rFonts w:ascii="Times New Roman" w:hAnsi="Times New Roman" w:cs="Times New Roman"/>
                <w:bCs/>
                <w:color w:val="auto"/>
                <w:sz w:val="20"/>
                <w:szCs w:val="20"/>
                <w:lang w:val="en-US"/>
              </w:rPr>
            </w:pPr>
            <w:r w:rsidRPr="009C5FB8">
              <w:rPr>
                <w:rFonts w:ascii="Times New Roman" w:hAnsi="Times New Roman" w:cs="Times New Roman"/>
                <w:bCs/>
                <w:color w:val="auto"/>
                <w:lang w:val="en-US"/>
              </w:rPr>
              <w:t>Điều 1:</w:t>
            </w:r>
            <w:r w:rsidR="00FC18A5">
              <w:rPr>
                <w:rFonts w:ascii="Times New Roman" w:hAnsi="Times New Roman" w:cs="Times New Roman"/>
                <w:b/>
                <w:lang w:val="en-US"/>
              </w:rPr>
              <w:t xml:space="preserve"> </w:t>
            </w:r>
            <w:r w:rsidRPr="009C5FB8">
              <w:rPr>
                <w:rFonts w:ascii="Times New Roman" w:hAnsi="Times New Roman" w:cs="Times New Roman"/>
              </w:rPr>
              <w:t>Phạm vi điều chỉnh</w:t>
            </w:r>
            <w:r w:rsidR="0083248F">
              <w:rPr>
                <w:rFonts w:ascii="Times New Roman" w:hAnsi="Times New Roman" w:cs="Times New Roman"/>
                <w:lang w:val="en-US"/>
              </w:rPr>
              <w:t>, đ</w:t>
            </w:r>
            <w:r w:rsidR="00FC18A5">
              <w:rPr>
                <w:rFonts w:ascii="Times New Roman" w:hAnsi="Times New Roman" w:cs="Times New Roman"/>
                <w:lang w:val="en-US"/>
              </w:rPr>
              <w:t>ối tượng áp dụng</w:t>
            </w:r>
          </w:p>
        </w:tc>
        <w:tc>
          <w:tcPr>
            <w:tcW w:w="2551" w:type="dxa"/>
            <w:shd w:val="clear" w:color="auto" w:fill="FFFFFF"/>
            <w:vAlign w:val="center"/>
          </w:tcPr>
          <w:p w14:paraId="13741E3C" w14:textId="208BF9AD" w:rsidR="009C5FB8" w:rsidRPr="009C5FB8" w:rsidRDefault="009C5FB8" w:rsidP="009C5FB8">
            <w:pPr>
              <w:spacing w:before="60" w:after="60"/>
              <w:jc w:val="both"/>
              <w:rPr>
                <w:rFonts w:ascii="Times New Roman" w:hAnsi="Times New Roman" w:cs="Times New Roman"/>
                <w:b/>
                <w:bCs/>
                <w:color w:val="auto"/>
                <w:sz w:val="20"/>
                <w:szCs w:val="20"/>
                <w:lang w:val="en-US"/>
              </w:rPr>
            </w:pPr>
            <w:r w:rsidRPr="009C5FB8">
              <w:rPr>
                <w:rFonts w:ascii="Times New Roman" w:hAnsi="Times New Roman" w:cs="Times New Roman"/>
                <w:bCs/>
                <w:color w:val="auto"/>
                <w:lang w:val="en-US"/>
              </w:rPr>
              <w:t>Điều 1:</w:t>
            </w:r>
            <w:r w:rsidRPr="009C5FB8">
              <w:rPr>
                <w:rFonts w:ascii="Times New Roman" w:hAnsi="Times New Roman" w:cs="Times New Roman"/>
                <w:b/>
              </w:rPr>
              <w:t xml:space="preserve"> </w:t>
            </w:r>
            <w:r w:rsidRPr="009C5FB8">
              <w:rPr>
                <w:rFonts w:ascii="Times New Roman" w:hAnsi="Times New Roman" w:cs="Times New Roman"/>
              </w:rPr>
              <w:t>Phạm vi điều chỉnh</w:t>
            </w:r>
          </w:p>
        </w:tc>
        <w:tc>
          <w:tcPr>
            <w:tcW w:w="2552" w:type="dxa"/>
            <w:shd w:val="clear" w:color="auto" w:fill="FFFFFF"/>
            <w:vAlign w:val="center"/>
          </w:tcPr>
          <w:p w14:paraId="409977D4" w14:textId="77777777" w:rsidR="0083248F" w:rsidRPr="0083248F" w:rsidRDefault="00392866" w:rsidP="009C5FB8">
            <w:pPr>
              <w:spacing w:before="60" w:after="60"/>
              <w:jc w:val="both"/>
              <w:rPr>
                <w:rFonts w:ascii="Times New Roman" w:hAnsi="Times New Roman" w:cs="Times New Roman"/>
              </w:rPr>
            </w:pPr>
            <w:r>
              <w:rPr>
                <w:rFonts w:ascii="Times New Roman" w:hAnsi="Times New Roman" w:cs="Times New Roman"/>
                <w:bCs/>
                <w:color w:val="auto"/>
                <w:lang w:val="en-US"/>
              </w:rPr>
              <w:t>Điều 1</w:t>
            </w:r>
            <w:r w:rsidRPr="0083248F">
              <w:rPr>
                <w:rFonts w:ascii="Times New Roman" w:hAnsi="Times New Roman" w:cs="Times New Roman"/>
                <w:bCs/>
                <w:color w:val="auto"/>
                <w:lang w:val="en-US"/>
              </w:rPr>
              <w:t>.</w:t>
            </w:r>
            <w:r w:rsidRPr="0083248F">
              <w:rPr>
                <w:rFonts w:ascii="Times New Roman" w:hAnsi="Times New Roman" w:cs="Times New Roman"/>
              </w:rPr>
              <w:t xml:space="preserve"> Phạm vi điều chỉnh, đối tượng áp dụng</w:t>
            </w:r>
          </w:p>
          <w:p w14:paraId="65743B6A" w14:textId="4F4A08EE" w:rsidR="009C5FB8" w:rsidRPr="009C5FB8" w:rsidRDefault="009C5FB8" w:rsidP="009C5FB8">
            <w:pPr>
              <w:spacing w:before="60" w:after="60"/>
              <w:jc w:val="both"/>
              <w:rPr>
                <w:rFonts w:ascii="Times New Roman" w:hAnsi="Times New Roman" w:cs="Times New Roman"/>
                <w:bCs/>
                <w:color w:val="auto"/>
                <w:lang w:val="en-US"/>
              </w:rPr>
            </w:pPr>
          </w:p>
        </w:tc>
        <w:tc>
          <w:tcPr>
            <w:tcW w:w="2978" w:type="dxa"/>
            <w:shd w:val="clear" w:color="auto" w:fill="FFFFFF"/>
            <w:vAlign w:val="center"/>
          </w:tcPr>
          <w:p w14:paraId="37184473" w14:textId="6F521A82" w:rsidR="009C5FB8" w:rsidRPr="009C5FB8" w:rsidRDefault="0083248F" w:rsidP="00353A1E">
            <w:pPr>
              <w:spacing w:before="60" w:after="60"/>
              <w:jc w:val="both"/>
              <w:rPr>
                <w:rFonts w:ascii="Times New Roman" w:hAnsi="Times New Roman" w:cs="Times New Roman"/>
                <w:color w:val="auto"/>
                <w:lang w:val="en-US"/>
              </w:rPr>
            </w:pPr>
            <w:r>
              <w:rPr>
                <w:rFonts w:ascii="Times New Roman" w:hAnsi="Times New Roman" w:cs="Times New Roman"/>
                <w:color w:val="auto"/>
                <w:lang w:val="en-US"/>
              </w:rPr>
              <w:t>Kế thừa các nghị quyết cũ và mở rộng phạm vi điều chỉnh, đối tượng áp dụng ra toàn Thành phố mới</w:t>
            </w:r>
          </w:p>
        </w:tc>
      </w:tr>
      <w:tr w:rsidR="009C5FB8" w:rsidRPr="009C5FB8" w14:paraId="66B74FFD" w14:textId="77777777" w:rsidTr="00C175D4">
        <w:trPr>
          <w:trHeight w:val="156"/>
        </w:trPr>
        <w:tc>
          <w:tcPr>
            <w:tcW w:w="2694" w:type="dxa"/>
            <w:shd w:val="clear" w:color="auto" w:fill="FFFFFF"/>
            <w:vAlign w:val="center"/>
          </w:tcPr>
          <w:p w14:paraId="20D00B67" w14:textId="04C894C1" w:rsidR="009C5FB8" w:rsidRPr="00FC18A5" w:rsidRDefault="009C5FB8" w:rsidP="00FC18A5">
            <w:pPr>
              <w:spacing w:before="60" w:after="60"/>
              <w:jc w:val="both"/>
              <w:rPr>
                <w:rFonts w:ascii="Times New Roman" w:hAnsi="Times New Roman" w:cs="Times New Roman"/>
                <w:bCs/>
                <w:color w:val="auto"/>
                <w:sz w:val="20"/>
                <w:szCs w:val="20"/>
                <w:lang w:val="en-US"/>
              </w:rPr>
            </w:pPr>
            <w:r w:rsidRPr="009C5FB8">
              <w:rPr>
                <w:rFonts w:ascii="Times New Roman" w:hAnsi="Times New Roman" w:cs="Times New Roman"/>
                <w:spacing w:val="-4"/>
              </w:rPr>
              <w:t xml:space="preserve">Điều </w:t>
            </w:r>
            <w:r w:rsidR="00FC18A5">
              <w:rPr>
                <w:rFonts w:ascii="Times New Roman" w:hAnsi="Times New Roman" w:cs="Times New Roman"/>
                <w:spacing w:val="-4"/>
              </w:rPr>
              <w:t xml:space="preserve">2. </w:t>
            </w:r>
            <w:r w:rsidR="00FC18A5">
              <w:rPr>
                <w:rFonts w:ascii="Times New Roman" w:hAnsi="Times New Roman" w:cs="Times New Roman"/>
                <w:spacing w:val="-4"/>
                <w:lang w:val="en-US"/>
              </w:rPr>
              <w:t>Tổ chức thực hiện</w:t>
            </w:r>
          </w:p>
        </w:tc>
        <w:tc>
          <w:tcPr>
            <w:tcW w:w="2693" w:type="dxa"/>
            <w:shd w:val="clear" w:color="auto" w:fill="FFFFFF"/>
            <w:vAlign w:val="center"/>
          </w:tcPr>
          <w:p w14:paraId="68524003" w14:textId="133F69EE" w:rsidR="009C5FB8" w:rsidRPr="00FC18A5" w:rsidRDefault="009C5FB8" w:rsidP="00FC18A5">
            <w:pPr>
              <w:spacing w:before="60" w:after="60"/>
              <w:jc w:val="both"/>
              <w:rPr>
                <w:rFonts w:ascii="Times New Roman" w:hAnsi="Times New Roman" w:cs="Times New Roman"/>
                <w:bCs/>
                <w:color w:val="auto"/>
                <w:sz w:val="20"/>
                <w:szCs w:val="20"/>
                <w:lang w:val="en-US"/>
              </w:rPr>
            </w:pPr>
            <w:r w:rsidRPr="009C5FB8">
              <w:rPr>
                <w:rFonts w:ascii="Times New Roman" w:hAnsi="Times New Roman" w:cs="Times New Roman"/>
                <w:spacing w:val="-4"/>
              </w:rPr>
              <w:t xml:space="preserve">Điều 2. </w:t>
            </w:r>
            <w:r w:rsidR="00FC18A5">
              <w:rPr>
                <w:rFonts w:ascii="Times New Roman" w:hAnsi="Times New Roman" w:cs="Times New Roman"/>
                <w:spacing w:val="-4"/>
                <w:lang w:val="en-US"/>
              </w:rPr>
              <w:t>Chính sách miễn, giảm phí tham quan</w:t>
            </w:r>
          </w:p>
        </w:tc>
        <w:tc>
          <w:tcPr>
            <w:tcW w:w="2551" w:type="dxa"/>
            <w:shd w:val="clear" w:color="auto" w:fill="FFFFFF"/>
            <w:vAlign w:val="center"/>
          </w:tcPr>
          <w:p w14:paraId="366EABE0" w14:textId="0974B69D" w:rsidR="009C5FB8" w:rsidRPr="009C5FB8" w:rsidRDefault="009C5FB8" w:rsidP="009C5FB8">
            <w:pPr>
              <w:spacing w:before="60" w:after="60"/>
              <w:jc w:val="both"/>
              <w:rPr>
                <w:rFonts w:ascii="Times New Roman" w:hAnsi="Times New Roman" w:cs="Times New Roman"/>
                <w:b/>
                <w:bCs/>
                <w:color w:val="auto"/>
                <w:sz w:val="20"/>
                <w:szCs w:val="20"/>
                <w:lang w:val="en-US"/>
              </w:rPr>
            </w:pPr>
            <w:r w:rsidRPr="009C5FB8">
              <w:rPr>
                <w:rFonts w:ascii="Times New Roman" w:hAnsi="Times New Roman" w:cs="Times New Roman"/>
                <w:spacing w:val="-4"/>
              </w:rPr>
              <w:t>Điều 2. Đối tượng áp dụng</w:t>
            </w:r>
          </w:p>
        </w:tc>
        <w:tc>
          <w:tcPr>
            <w:tcW w:w="2552" w:type="dxa"/>
            <w:shd w:val="clear" w:color="auto" w:fill="FFFFFF"/>
            <w:vAlign w:val="center"/>
          </w:tcPr>
          <w:p w14:paraId="4EC482B8" w14:textId="18C5CBE7" w:rsidR="009C5FB8" w:rsidRPr="009C5FB8" w:rsidRDefault="009C5FB8" w:rsidP="00392866">
            <w:pPr>
              <w:spacing w:before="60" w:after="60"/>
              <w:jc w:val="both"/>
              <w:rPr>
                <w:rFonts w:ascii="Times New Roman" w:hAnsi="Times New Roman" w:cs="Times New Roman"/>
                <w:bCs/>
                <w:color w:val="auto"/>
                <w:lang w:val="en-US"/>
              </w:rPr>
            </w:pPr>
            <w:r w:rsidRPr="009C5FB8">
              <w:rPr>
                <w:rFonts w:ascii="Times New Roman" w:hAnsi="Times New Roman" w:cs="Times New Roman"/>
                <w:spacing w:val="-4"/>
              </w:rPr>
              <w:t xml:space="preserve">Điều 2. </w:t>
            </w:r>
            <w:r w:rsidR="00392866" w:rsidRPr="00392866">
              <w:rPr>
                <w:rFonts w:ascii="Times New Roman" w:hAnsi="Times New Roman" w:cs="Times New Roman"/>
                <w:spacing w:val="-4"/>
              </w:rPr>
              <w:t xml:space="preserve"> Mức thu phí tham quan</w:t>
            </w:r>
            <w:r w:rsidR="00392866">
              <w:rPr>
                <w:rFonts w:ascii="Times New Roman" w:hAnsi="Times New Roman" w:cs="Times New Roman"/>
                <w:spacing w:val="-4"/>
                <w:lang w:val="en-US"/>
              </w:rPr>
              <w:t xml:space="preserve"> </w:t>
            </w:r>
          </w:p>
        </w:tc>
        <w:tc>
          <w:tcPr>
            <w:tcW w:w="2978" w:type="dxa"/>
            <w:shd w:val="clear" w:color="auto" w:fill="FFFFFF"/>
            <w:vAlign w:val="center"/>
          </w:tcPr>
          <w:p w14:paraId="63D7BE95" w14:textId="37E9FB14" w:rsidR="009C5FB8" w:rsidRPr="009C5FB8" w:rsidRDefault="0083248F" w:rsidP="0083248F">
            <w:pPr>
              <w:spacing w:before="60" w:after="60"/>
              <w:jc w:val="both"/>
              <w:rPr>
                <w:rFonts w:ascii="Times New Roman" w:hAnsi="Times New Roman" w:cs="Times New Roman"/>
                <w:color w:val="auto"/>
                <w:lang w:val="en-US"/>
              </w:rPr>
            </w:pPr>
            <w:r>
              <w:rPr>
                <w:rFonts w:ascii="Times New Roman" w:hAnsi="Times New Roman" w:cs="Times New Roman"/>
                <w:color w:val="auto"/>
                <w:lang w:val="en-US"/>
              </w:rPr>
              <w:t>Kế thừa mức thu phí tại các địa điểm tham quan của 03 địa phương trước đây</w:t>
            </w:r>
          </w:p>
        </w:tc>
      </w:tr>
      <w:tr w:rsidR="00E21739" w:rsidRPr="009C5FB8" w14:paraId="6BE1000F" w14:textId="77777777" w:rsidTr="00C175D4">
        <w:tc>
          <w:tcPr>
            <w:tcW w:w="2694" w:type="dxa"/>
            <w:vMerge w:val="restart"/>
            <w:shd w:val="clear" w:color="auto" w:fill="FFFFFF"/>
            <w:vAlign w:val="center"/>
          </w:tcPr>
          <w:p w14:paraId="0EBD2619" w14:textId="34527CB1" w:rsidR="00E21739" w:rsidRPr="009C5FB8" w:rsidRDefault="00E21739" w:rsidP="009C5FB8">
            <w:pPr>
              <w:spacing w:before="60" w:after="60"/>
              <w:jc w:val="both"/>
              <w:rPr>
                <w:rFonts w:ascii="Times New Roman" w:hAnsi="Times New Roman" w:cs="Times New Roman"/>
                <w:bCs/>
                <w:color w:val="auto"/>
                <w:sz w:val="20"/>
                <w:szCs w:val="20"/>
                <w:lang w:val="en-US"/>
              </w:rPr>
            </w:pPr>
          </w:p>
        </w:tc>
        <w:tc>
          <w:tcPr>
            <w:tcW w:w="2693" w:type="dxa"/>
            <w:shd w:val="clear" w:color="auto" w:fill="FFFFFF"/>
            <w:vAlign w:val="center"/>
          </w:tcPr>
          <w:p w14:paraId="525ADC20" w14:textId="68A10485" w:rsidR="00E21739" w:rsidRPr="00FC18A5" w:rsidRDefault="00E21739" w:rsidP="00FC18A5">
            <w:pPr>
              <w:spacing w:before="60" w:after="60"/>
              <w:jc w:val="both"/>
              <w:rPr>
                <w:rFonts w:ascii="Times New Roman" w:hAnsi="Times New Roman" w:cs="Times New Roman"/>
                <w:bCs/>
                <w:color w:val="auto"/>
                <w:lang w:val="en-US"/>
              </w:rPr>
            </w:pPr>
            <w:r w:rsidRPr="009C5FB8">
              <w:rPr>
                <w:rFonts w:ascii="Times New Roman" w:hAnsi="Times New Roman" w:cs="Times New Roman"/>
              </w:rPr>
              <w:t xml:space="preserve">Điều 3. </w:t>
            </w:r>
            <w:r>
              <w:rPr>
                <w:rFonts w:ascii="Times New Roman" w:hAnsi="Times New Roman" w:cs="Times New Roman"/>
                <w:lang w:val="en-US"/>
              </w:rPr>
              <w:t>Tổ chức thực hiện</w:t>
            </w:r>
          </w:p>
        </w:tc>
        <w:tc>
          <w:tcPr>
            <w:tcW w:w="2551" w:type="dxa"/>
            <w:shd w:val="clear" w:color="auto" w:fill="FFFFFF"/>
            <w:vAlign w:val="center"/>
          </w:tcPr>
          <w:p w14:paraId="0CBE2809" w14:textId="27521B5B" w:rsidR="00E21739" w:rsidRPr="00797656" w:rsidRDefault="00E21739" w:rsidP="00797656">
            <w:pPr>
              <w:spacing w:before="60" w:after="60"/>
              <w:jc w:val="both"/>
              <w:rPr>
                <w:rFonts w:ascii="Times New Roman" w:hAnsi="Times New Roman" w:cs="Times New Roman"/>
                <w:b/>
                <w:bCs/>
                <w:color w:val="auto"/>
                <w:sz w:val="20"/>
                <w:szCs w:val="20"/>
                <w:lang w:val="en-US"/>
              </w:rPr>
            </w:pPr>
            <w:r w:rsidRPr="009C5FB8">
              <w:rPr>
                <w:rFonts w:ascii="Times New Roman" w:hAnsi="Times New Roman" w:cs="Times New Roman"/>
              </w:rPr>
              <w:t xml:space="preserve">Điều 3. </w:t>
            </w:r>
            <w:r>
              <w:rPr>
                <w:rFonts w:ascii="Times New Roman" w:hAnsi="Times New Roman" w:cs="Times New Roman"/>
                <w:lang w:val="en-US"/>
              </w:rPr>
              <w:t>Người nộp phí và đơn vị trực tiếp thu phí</w:t>
            </w:r>
          </w:p>
        </w:tc>
        <w:tc>
          <w:tcPr>
            <w:tcW w:w="2552" w:type="dxa"/>
            <w:shd w:val="clear" w:color="auto" w:fill="FFFFFF"/>
            <w:vAlign w:val="center"/>
          </w:tcPr>
          <w:p w14:paraId="02BB9045" w14:textId="1E7E3E91" w:rsidR="00E21739" w:rsidRPr="009C5FB8" w:rsidRDefault="00E21739" w:rsidP="00392866">
            <w:pPr>
              <w:spacing w:before="60" w:after="60"/>
              <w:jc w:val="both"/>
              <w:rPr>
                <w:rFonts w:ascii="Times New Roman" w:hAnsi="Times New Roman" w:cs="Times New Roman"/>
                <w:bCs/>
                <w:color w:val="auto"/>
                <w:lang w:val="en-US"/>
              </w:rPr>
            </w:pPr>
            <w:r w:rsidRPr="009C5FB8">
              <w:rPr>
                <w:rFonts w:ascii="Times New Roman" w:hAnsi="Times New Roman" w:cs="Times New Roman"/>
              </w:rPr>
              <w:t xml:space="preserve">Điều 3. </w:t>
            </w:r>
            <w:r w:rsidRPr="00392866">
              <w:rPr>
                <w:rFonts w:ascii="Times New Roman" w:hAnsi="Times New Roman" w:cs="Times New Roman"/>
              </w:rPr>
              <w:t xml:space="preserve"> Đối tượng được miễn, giảm phí tham quan</w:t>
            </w:r>
            <w:r>
              <w:rPr>
                <w:rFonts w:ascii="Times New Roman" w:hAnsi="Times New Roman" w:cs="Times New Roman"/>
                <w:lang w:val="en-US"/>
              </w:rPr>
              <w:t xml:space="preserve"> </w:t>
            </w:r>
          </w:p>
        </w:tc>
        <w:tc>
          <w:tcPr>
            <w:tcW w:w="2978" w:type="dxa"/>
            <w:shd w:val="clear" w:color="auto" w:fill="FFFFFF"/>
            <w:vAlign w:val="center"/>
          </w:tcPr>
          <w:p w14:paraId="709A55F8" w14:textId="7DB2CD9D" w:rsidR="00E21739" w:rsidRPr="0083248F" w:rsidRDefault="00E21739" w:rsidP="009C5FB8">
            <w:pPr>
              <w:spacing w:before="60" w:after="60"/>
              <w:jc w:val="both"/>
              <w:rPr>
                <w:rFonts w:ascii="Times New Roman" w:hAnsi="Times New Roman" w:cs="Times New Roman"/>
                <w:color w:val="auto"/>
                <w:lang w:val="en-US"/>
              </w:rPr>
            </w:pPr>
            <w:r>
              <w:rPr>
                <w:rFonts w:ascii="Times New Roman" w:hAnsi="Times New Roman" w:cs="Times New Roman"/>
                <w:color w:val="auto"/>
                <w:lang w:val="en-US"/>
              </w:rPr>
              <w:t xml:space="preserve">Kế thừa </w:t>
            </w:r>
            <w:r w:rsidRPr="009C5C8F">
              <w:rPr>
                <w:rFonts w:ascii="Times New Roman" w:hAnsi="Times New Roman" w:cs="Times New Roman"/>
                <w:spacing w:val="-2"/>
              </w:rPr>
              <w:t xml:space="preserve">Nghị quyết số 16/2017/NQ-HĐND  </w:t>
            </w:r>
          </w:p>
        </w:tc>
      </w:tr>
      <w:tr w:rsidR="00E21739" w:rsidRPr="009C5FB8" w14:paraId="6EA682AF" w14:textId="77777777" w:rsidTr="00C175D4">
        <w:tc>
          <w:tcPr>
            <w:tcW w:w="2694" w:type="dxa"/>
            <w:vMerge/>
            <w:shd w:val="clear" w:color="auto" w:fill="FFFFFF"/>
            <w:vAlign w:val="center"/>
          </w:tcPr>
          <w:p w14:paraId="754A6094" w14:textId="5B86512A" w:rsidR="00E21739" w:rsidRPr="009C5FB8" w:rsidRDefault="00E21739" w:rsidP="009C5FB8">
            <w:pPr>
              <w:spacing w:before="60" w:after="60"/>
              <w:jc w:val="both"/>
              <w:rPr>
                <w:rFonts w:ascii="Times New Roman" w:hAnsi="Times New Roman" w:cs="Times New Roman"/>
                <w:bCs/>
                <w:color w:val="auto"/>
                <w:sz w:val="20"/>
                <w:szCs w:val="20"/>
                <w:lang w:val="en-US"/>
              </w:rPr>
            </w:pPr>
          </w:p>
        </w:tc>
        <w:tc>
          <w:tcPr>
            <w:tcW w:w="2693" w:type="dxa"/>
            <w:vMerge w:val="restart"/>
            <w:shd w:val="clear" w:color="auto" w:fill="FFFFFF"/>
            <w:vAlign w:val="center"/>
          </w:tcPr>
          <w:p w14:paraId="31CC1EAF" w14:textId="0AE11178" w:rsidR="00E21739" w:rsidRPr="009C5FB8" w:rsidRDefault="00E21739" w:rsidP="009C5FB8">
            <w:pPr>
              <w:spacing w:before="60" w:after="60"/>
              <w:jc w:val="both"/>
              <w:rPr>
                <w:rFonts w:ascii="Times New Roman" w:hAnsi="Times New Roman" w:cs="Times New Roman"/>
                <w:bCs/>
                <w:color w:val="auto"/>
                <w:lang w:val="en-US"/>
              </w:rPr>
            </w:pPr>
          </w:p>
        </w:tc>
        <w:tc>
          <w:tcPr>
            <w:tcW w:w="2551" w:type="dxa"/>
            <w:shd w:val="clear" w:color="auto" w:fill="FFFFFF"/>
            <w:vAlign w:val="center"/>
          </w:tcPr>
          <w:p w14:paraId="436DE336" w14:textId="14415C22" w:rsidR="00E21739" w:rsidRPr="009C5FB8" w:rsidRDefault="00E21739" w:rsidP="00797656">
            <w:pPr>
              <w:jc w:val="both"/>
              <w:rPr>
                <w:rFonts w:ascii="Times New Roman" w:hAnsi="Times New Roman" w:cs="Times New Roman"/>
                <w:lang w:val="en-US"/>
              </w:rPr>
            </w:pPr>
            <w:r w:rsidRPr="009C5FB8">
              <w:rPr>
                <w:rFonts w:ascii="Times New Roman" w:hAnsi="Times New Roman" w:cs="Times New Roman"/>
                <w:lang w:val="en-US"/>
              </w:rPr>
              <w:t xml:space="preserve">Điều 4: </w:t>
            </w:r>
            <w:r>
              <w:rPr>
                <w:rFonts w:ascii="Times New Roman" w:hAnsi="Times New Roman" w:cs="Times New Roman"/>
                <w:lang w:val="en-US"/>
              </w:rPr>
              <w:t>Mức thu phí</w:t>
            </w:r>
          </w:p>
        </w:tc>
        <w:tc>
          <w:tcPr>
            <w:tcW w:w="2552" w:type="dxa"/>
            <w:shd w:val="clear" w:color="auto" w:fill="FFFFFF"/>
            <w:vAlign w:val="center"/>
          </w:tcPr>
          <w:p w14:paraId="7EC1F451" w14:textId="6E50397D" w:rsidR="00E21739" w:rsidRPr="009C5FB8" w:rsidRDefault="00E21739" w:rsidP="00392866">
            <w:pPr>
              <w:spacing w:before="60" w:after="60"/>
              <w:jc w:val="both"/>
              <w:rPr>
                <w:rFonts w:ascii="Times New Roman" w:hAnsi="Times New Roman" w:cs="Times New Roman"/>
                <w:bCs/>
                <w:color w:val="auto"/>
                <w:lang w:val="en-US"/>
              </w:rPr>
            </w:pPr>
            <w:r w:rsidRPr="009C5FB8">
              <w:rPr>
                <w:rFonts w:ascii="Times New Roman" w:hAnsi="Times New Roman" w:cs="Times New Roman"/>
              </w:rPr>
              <w:t>Điều 4.</w:t>
            </w:r>
            <w:r w:rsidRPr="00392866">
              <w:rPr>
                <w:rFonts w:ascii="Times New Roman" w:hAnsi="Times New Roman" w:cs="Times New Roman"/>
              </w:rPr>
              <w:t xml:space="preserve"> Tổ chức thu phí, quản lý phí và sử dụng nguồn thu phí tham quan</w:t>
            </w:r>
            <w:r w:rsidRPr="009C5FB8">
              <w:rPr>
                <w:rFonts w:ascii="Times New Roman" w:hAnsi="Times New Roman" w:cs="Times New Roman"/>
              </w:rPr>
              <w:t xml:space="preserve"> </w:t>
            </w:r>
          </w:p>
        </w:tc>
        <w:tc>
          <w:tcPr>
            <w:tcW w:w="2978" w:type="dxa"/>
            <w:shd w:val="clear" w:color="auto" w:fill="FFFFFF"/>
            <w:vAlign w:val="center"/>
          </w:tcPr>
          <w:p w14:paraId="71C6B1F9" w14:textId="2AA3192B" w:rsidR="00E21739" w:rsidRPr="009C5FB8" w:rsidRDefault="00E21739" w:rsidP="009C5FB8">
            <w:pPr>
              <w:spacing w:before="60" w:after="60"/>
              <w:jc w:val="both"/>
              <w:rPr>
                <w:rFonts w:ascii="Times New Roman" w:hAnsi="Times New Roman" w:cs="Times New Roman"/>
                <w:color w:val="auto"/>
                <w:lang w:val="en-US"/>
              </w:rPr>
            </w:pPr>
            <w:r>
              <w:rPr>
                <w:rFonts w:ascii="Times New Roman" w:hAnsi="Times New Roman" w:cs="Times New Roman"/>
                <w:color w:val="auto"/>
                <w:lang w:val="en-US"/>
              </w:rPr>
              <w:t xml:space="preserve">Kế thừa </w:t>
            </w:r>
            <w:r w:rsidRPr="009C5C8F">
              <w:rPr>
                <w:rFonts w:ascii="Times New Roman" w:hAnsi="Times New Roman" w:cs="Times New Roman"/>
                <w:spacing w:val="-2"/>
              </w:rPr>
              <w:t>Nghị quyết số 16/2017/NQ-HĐND</w:t>
            </w:r>
            <w:r>
              <w:rPr>
                <w:rFonts w:ascii="Times New Roman" w:hAnsi="Times New Roman" w:cs="Times New Roman"/>
                <w:spacing w:val="-2"/>
                <w:lang w:val="en-US"/>
              </w:rPr>
              <w:t xml:space="preserve">; </w:t>
            </w:r>
            <w:r w:rsidRPr="009C5C8F">
              <w:rPr>
                <w:rFonts w:ascii="Times New Roman" w:hAnsi="Times New Roman" w:cs="Times New Roman"/>
                <w:spacing w:val="-2"/>
              </w:rPr>
              <w:t>Nghị quyết số 17/2017/NQ-HĐND</w:t>
            </w:r>
            <w:r>
              <w:rPr>
                <w:rFonts w:ascii="Times New Roman" w:hAnsi="Times New Roman" w:cs="Times New Roman"/>
                <w:spacing w:val="-2"/>
                <w:lang w:val="en-US"/>
              </w:rPr>
              <w:t xml:space="preserve">; </w:t>
            </w:r>
            <w:r w:rsidRPr="009C5C8F">
              <w:rPr>
                <w:rFonts w:ascii="Times New Roman" w:hAnsi="Times New Roman" w:cs="Times New Roman"/>
                <w:spacing w:val="-2"/>
              </w:rPr>
              <w:t>Nghị quyết số 03/2020/NQ-HĐND</w:t>
            </w:r>
            <w:r>
              <w:rPr>
                <w:rFonts w:ascii="Times New Roman" w:hAnsi="Times New Roman" w:cs="Times New Roman"/>
                <w:spacing w:val="-2"/>
                <w:lang w:val="en-US"/>
              </w:rPr>
              <w:t xml:space="preserve">; </w:t>
            </w:r>
            <w:r w:rsidRPr="009C5C8F">
              <w:rPr>
                <w:rFonts w:ascii="Times New Roman" w:hAnsi="Times New Roman" w:cs="Times New Roman"/>
                <w:spacing w:val="-2"/>
              </w:rPr>
              <w:t xml:space="preserve"> Nghị quyết số 12/2020/NQ-HĐND</w:t>
            </w:r>
          </w:p>
        </w:tc>
      </w:tr>
      <w:tr w:rsidR="00E21739" w:rsidRPr="009C5FB8" w14:paraId="00CDE1EE" w14:textId="77777777" w:rsidTr="00C175D4">
        <w:tc>
          <w:tcPr>
            <w:tcW w:w="2694" w:type="dxa"/>
            <w:vMerge/>
            <w:shd w:val="clear" w:color="auto" w:fill="FFFFFF"/>
            <w:vAlign w:val="center"/>
          </w:tcPr>
          <w:p w14:paraId="511D6722" w14:textId="4AE4A14F" w:rsidR="00E21739" w:rsidRPr="009C5FB8" w:rsidRDefault="00E21739" w:rsidP="009C5FB8">
            <w:pPr>
              <w:spacing w:before="60" w:after="60"/>
              <w:jc w:val="both"/>
              <w:rPr>
                <w:rFonts w:ascii="Times New Roman" w:hAnsi="Times New Roman" w:cs="Times New Roman"/>
                <w:bCs/>
                <w:color w:val="auto"/>
                <w:sz w:val="20"/>
                <w:szCs w:val="20"/>
                <w:lang w:val="en-US"/>
              </w:rPr>
            </w:pPr>
          </w:p>
        </w:tc>
        <w:tc>
          <w:tcPr>
            <w:tcW w:w="2693" w:type="dxa"/>
            <w:vMerge/>
            <w:shd w:val="clear" w:color="auto" w:fill="FFFFFF"/>
            <w:vAlign w:val="center"/>
          </w:tcPr>
          <w:p w14:paraId="04F05CB4" w14:textId="7767D7A5" w:rsidR="00E21739" w:rsidRPr="009C5FB8" w:rsidRDefault="00E21739" w:rsidP="009C5FB8">
            <w:pPr>
              <w:spacing w:before="60" w:after="60"/>
              <w:jc w:val="both"/>
              <w:rPr>
                <w:rFonts w:ascii="Times New Roman" w:hAnsi="Times New Roman" w:cs="Times New Roman"/>
                <w:bCs/>
                <w:color w:val="auto"/>
                <w:lang w:val="en-US"/>
              </w:rPr>
            </w:pPr>
          </w:p>
        </w:tc>
        <w:tc>
          <w:tcPr>
            <w:tcW w:w="2551" w:type="dxa"/>
            <w:shd w:val="clear" w:color="auto" w:fill="FFFFFF"/>
            <w:vAlign w:val="center"/>
          </w:tcPr>
          <w:p w14:paraId="7D4F974F" w14:textId="59E8744C" w:rsidR="00E21739" w:rsidRPr="009C5FB8" w:rsidRDefault="00E21739" w:rsidP="00797656">
            <w:pPr>
              <w:jc w:val="both"/>
              <w:rPr>
                <w:rFonts w:ascii="Times New Roman" w:hAnsi="Times New Roman" w:cs="Times New Roman"/>
                <w:lang w:val="en-US"/>
              </w:rPr>
            </w:pPr>
            <w:r>
              <w:rPr>
                <w:rFonts w:ascii="Times New Roman" w:hAnsi="Times New Roman" w:cs="Times New Roman"/>
                <w:lang w:val="en-US"/>
              </w:rPr>
              <w:t>Điều 5: Trường hợp miễn, giảm phí</w:t>
            </w:r>
          </w:p>
        </w:tc>
        <w:tc>
          <w:tcPr>
            <w:tcW w:w="2552" w:type="dxa"/>
            <w:shd w:val="clear" w:color="auto" w:fill="FFFFFF"/>
            <w:vAlign w:val="center"/>
          </w:tcPr>
          <w:p w14:paraId="142112E0" w14:textId="23CF907E" w:rsidR="00E21739" w:rsidRPr="009C5FB8" w:rsidRDefault="00E21739" w:rsidP="00392866">
            <w:pPr>
              <w:pStyle w:val="NoSpacing"/>
              <w:spacing w:before="120" w:after="120" w:line="252" w:lineRule="auto"/>
              <w:jc w:val="both"/>
              <w:rPr>
                <w:bCs/>
              </w:rPr>
            </w:pPr>
            <w:r w:rsidRPr="009C5FB8">
              <w:rPr>
                <w:lang w:val="vi-VN"/>
              </w:rPr>
              <w:t xml:space="preserve"> </w:t>
            </w:r>
            <w:r w:rsidRPr="00392866">
              <w:rPr>
                <w:lang w:val="vi-VN"/>
              </w:rPr>
              <w:t>Điều 5. Tổ chức thực hiện</w:t>
            </w:r>
            <w:r>
              <w:t xml:space="preserve"> </w:t>
            </w:r>
          </w:p>
        </w:tc>
        <w:tc>
          <w:tcPr>
            <w:tcW w:w="2978" w:type="dxa"/>
            <w:shd w:val="clear" w:color="auto" w:fill="FFFFFF"/>
            <w:vAlign w:val="center"/>
          </w:tcPr>
          <w:p w14:paraId="53DDD8AA" w14:textId="29360F6C" w:rsidR="00E21739" w:rsidRPr="009C5FB8" w:rsidRDefault="00E21739" w:rsidP="00CB3725">
            <w:pPr>
              <w:spacing w:before="60" w:after="60"/>
              <w:jc w:val="both"/>
              <w:rPr>
                <w:rFonts w:ascii="Times New Roman" w:hAnsi="Times New Roman" w:cs="Times New Roman"/>
                <w:color w:val="auto"/>
                <w:lang w:val="en-US"/>
              </w:rPr>
            </w:pPr>
            <w:r>
              <w:rPr>
                <w:rFonts w:ascii="Times New Roman" w:hAnsi="Times New Roman" w:cs="Times New Roman"/>
                <w:color w:val="auto"/>
                <w:lang w:val="en-US"/>
              </w:rPr>
              <w:t>Kế thừa các nghị quyết cũ và mở rộng thực hiện ra toàn Thành phố mới</w:t>
            </w:r>
          </w:p>
        </w:tc>
      </w:tr>
      <w:tr w:rsidR="00E21739" w:rsidRPr="009C5FB8" w14:paraId="6DF8BD4C" w14:textId="77777777" w:rsidTr="00C175D4">
        <w:tc>
          <w:tcPr>
            <w:tcW w:w="2694" w:type="dxa"/>
            <w:vMerge/>
            <w:shd w:val="clear" w:color="auto" w:fill="FFFFFF"/>
            <w:vAlign w:val="center"/>
          </w:tcPr>
          <w:p w14:paraId="0BBB684D" w14:textId="400D2080" w:rsidR="00E21739" w:rsidRPr="009C5FB8" w:rsidRDefault="00E21739" w:rsidP="009C5FB8">
            <w:pPr>
              <w:spacing w:before="60" w:after="60"/>
              <w:jc w:val="both"/>
              <w:rPr>
                <w:rFonts w:ascii="Times New Roman" w:hAnsi="Times New Roman" w:cs="Times New Roman"/>
                <w:bCs/>
                <w:color w:val="auto"/>
                <w:sz w:val="20"/>
                <w:szCs w:val="20"/>
                <w:lang w:val="en-US"/>
              </w:rPr>
            </w:pPr>
          </w:p>
        </w:tc>
        <w:tc>
          <w:tcPr>
            <w:tcW w:w="2693" w:type="dxa"/>
            <w:vMerge/>
            <w:shd w:val="clear" w:color="auto" w:fill="FFFFFF"/>
            <w:vAlign w:val="center"/>
          </w:tcPr>
          <w:p w14:paraId="2F9D02C1" w14:textId="65C8D7D7" w:rsidR="00E21739" w:rsidRPr="009C5FB8" w:rsidRDefault="00E21739" w:rsidP="009C5FB8">
            <w:pPr>
              <w:spacing w:before="60" w:after="60"/>
              <w:jc w:val="both"/>
              <w:rPr>
                <w:rFonts w:ascii="Times New Roman" w:hAnsi="Times New Roman" w:cs="Times New Roman"/>
                <w:bCs/>
                <w:color w:val="auto"/>
                <w:lang w:val="en-US"/>
              </w:rPr>
            </w:pPr>
          </w:p>
        </w:tc>
        <w:tc>
          <w:tcPr>
            <w:tcW w:w="2551" w:type="dxa"/>
            <w:shd w:val="clear" w:color="auto" w:fill="FFFFFF"/>
            <w:vAlign w:val="center"/>
          </w:tcPr>
          <w:p w14:paraId="357F631B" w14:textId="0F5E14D7" w:rsidR="00E21739" w:rsidRPr="009C5FB8" w:rsidRDefault="00E21739" w:rsidP="00797656">
            <w:pPr>
              <w:jc w:val="both"/>
              <w:rPr>
                <w:rFonts w:ascii="Times New Roman" w:hAnsi="Times New Roman" w:cs="Times New Roman"/>
                <w:lang w:val="en-US"/>
              </w:rPr>
            </w:pPr>
            <w:r>
              <w:rPr>
                <w:rFonts w:ascii="Times New Roman" w:hAnsi="Times New Roman" w:cs="Times New Roman"/>
                <w:lang w:val="en-US"/>
              </w:rPr>
              <w:t>Điều 6: Nộp, quản lý và sử dụng phí</w:t>
            </w:r>
          </w:p>
        </w:tc>
        <w:tc>
          <w:tcPr>
            <w:tcW w:w="2552" w:type="dxa"/>
            <w:shd w:val="clear" w:color="auto" w:fill="FFFFFF"/>
            <w:vAlign w:val="center"/>
          </w:tcPr>
          <w:p w14:paraId="7309D71A" w14:textId="603E4D2E" w:rsidR="00E21739" w:rsidRPr="009C5FB8" w:rsidRDefault="00E21739" w:rsidP="00756642">
            <w:pPr>
              <w:jc w:val="both"/>
              <w:rPr>
                <w:rFonts w:ascii="Times New Roman" w:hAnsi="Times New Roman" w:cs="Times New Roman"/>
                <w:bCs/>
                <w:color w:val="auto"/>
                <w:lang w:val="en-US"/>
              </w:rPr>
            </w:pPr>
            <w:r w:rsidRPr="009C5FB8">
              <w:rPr>
                <w:rFonts w:ascii="Times New Roman" w:hAnsi="Times New Roman" w:cs="Times New Roman"/>
              </w:rPr>
              <w:t>Điều 6. Điều</w:t>
            </w:r>
            <w:r>
              <w:rPr>
                <w:rFonts w:ascii="Times New Roman" w:hAnsi="Times New Roman" w:cs="Times New Roman"/>
                <w:lang w:val="en-US"/>
              </w:rPr>
              <w:t xml:space="preserve"> khoản thi hành </w:t>
            </w:r>
            <w:r w:rsidRPr="009C5FB8">
              <w:rPr>
                <w:rFonts w:ascii="Times New Roman" w:hAnsi="Times New Roman" w:cs="Times New Roman"/>
              </w:rPr>
              <w:t xml:space="preserve"> </w:t>
            </w:r>
          </w:p>
        </w:tc>
        <w:tc>
          <w:tcPr>
            <w:tcW w:w="2978" w:type="dxa"/>
            <w:shd w:val="clear" w:color="auto" w:fill="FFFFFF"/>
            <w:vAlign w:val="center"/>
          </w:tcPr>
          <w:p w14:paraId="5B8DE78C" w14:textId="78D2C449" w:rsidR="00E21739" w:rsidRPr="009C5FB8" w:rsidRDefault="00E21739" w:rsidP="00756642">
            <w:pPr>
              <w:jc w:val="both"/>
              <w:rPr>
                <w:rFonts w:ascii="Times New Roman" w:hAnsi="Times New Roman" w:cs="Times New Roman"/>
                <w:color w:val="auto"/>
                <w:lang w:val="en-US"/>
              </w:rPr>
            </w:pPr>
            <w:r>
              <w:rPr>
                <w:rFonts w:ascii="Times New Roman" w:hAnsi="Times New Roman" w:cs="Times New Roman"/>
                <w:color w:val="auto"/>
                <w:lang w:val="en-US"/>
              </w:rPr>
              <w:t>Kế thừa các nghị quyết cũ và mở rộng thực hiện ra toàn Thành phố mới</w:t>
            </w:r>
          </w:p>
        </w:tc>
      </w:tr>
    </w:tbl>
    <w:p w14:paraId="0A3FD3DF" w14:textId="77777777" w:rsidR="008842AA" w:rsidRPr="009C5FB8" w:rsidRDefault="008842AA" w:rsidP="00561271">
      <w:pPr>
        <w:spacing w:before="120" w:after="120"/>
        <w:ind w:firstLine="567"/>
        <w:jc w:val="both"/>
        <w:rPr>
          <w:rFonts w:ascii="Times New Roman" w:hAnsi="Times New Roman" w:cs="Times New Roman"/>
          <w:bCs/>
          <w:color w:val="auto"/>
          <w:sz w:val="28"/>
          <w:szCs w:val="28"/>
          <w:lang w:val="en-US"/>
        </w:rPr>
      </w:pPr>
      <w:r w:rsidRPr="009C5FB8">
        <w:rPr>
          <w:rFonts w:ascii="Times New Roman" w:hAnsi="Times New Roman" w:cs="Times New Roman"/>
          <w:b/>
          <w:bCs/>
          <w:color w:val="auto"/>
          <w:sz w:val="28"/>
          <w:szCs w:val="28"/>
          <w:lang w:val="en-US"/>
        </w:rPr>
        <w:lastRenderedPageBreak/>
        <w:t>2. Đối với văn bản ban hành mới</w:t>
      </w:r>
      <w:r w:rsidRPr="009C5FB8">
        <w:rPr>
          <w:rFonts w:ascii="Times New Roman" w:hAnsi="Times New Roman" w:cs="Times New Roman"/>
          <w:bCs/>
          <w:color w:val="auto"/>
          <w:sz w:val="28"/>
          <w:szCs w:val="28"/>
          <w:lang w:val="en-US"/>
        </w:rPr>
        <w:t xml:space="preserve"> </w:t>
      </w:r>
    </w:p>
    <w:p w14:paraId="4DAFC064" w14:textId="77777777" w:rsidR="008842AA" w:rsidRPr="009C5FB8" w:rsidRDefault="008842AA" w:rsidP="00561271">
      <w:pPr>
        <w:spacing w:before="120" w:after="120"/>
        <w:ind w:firstLine="567"/>
        <w:jc w:val="both"/>
        <w:rPr>
          <w:rFonts w:ascii="Times New Roman" w:hAnsi="Times New Roman" w:cs="Times New Roman"/>
          <w:bCs/>
          <w:color w:val="auto"/>
          <w:sz w:val="28"/>
          <w:szCs w:val="28"/>
          <w:lang w:val="en-US"/>
        </w:rPr>
      </w:pPr>
      <w:r w:rsidRPr="009C5FB8">
        <w:rPr>
          <w:rFonts w:ascii="Times New Roman" w:hAnsi="Times New Roman" w:cs="Times New Roman"/>
          <w:bCs/>
          <w:color w:val="auto"/>
          <w:sz w:val="28"/>
          <w:szCs w:val="28"/>
          <w:lang w:val="en-US"/>
        </w:rPr>
        <w:t>Không có.</w:t>
      </w:r>
    </w:p>
    <w:p w14:paraId="6A74A6E0" w14:textId="02402839" w:rsidR="00A52668" w:rsidRPr="009C5FB8" w:rsidRDefault="00201F68" w:rsidP="00201F68">
      <w:pPr>
        <w:spacing w:before="120" w:after="120"/>
        <w:ind w:firstLine="567"/>
        <w:jc w:val="both"/>
        <w:rPr>
          <w:rFonts w:ascii="Times New Roman" w:hAnsi="Times New Roman" w:cs="Times New Roman"/>
          <w:bCs/>
          <w:color w:val="auto"/>
          <w:sz w:val="28"/>
          <w:szCs w:val="28"/>
          <w:lang w:val="en-US"/>
        </w:rPr>
      </w:pPr>
      <w:r w:rsidRPr="009C5FB8">
        <w:rPr>
          <w:rFonts w:ascii="Times New Roman" w:hAnsi="Times New Roman" w:cs="Times New Roman"/>
          <w:bCs/>
          <w:color w:val="auto"/>
          <w:sz w:val="28"/>
          <w:szCs w:val="28"/>
          <w:lang w:val="en-US"/>
        </w:rPr>
        <w:t xml:space="preserve">Trên đây là kết quả so sánh, thuyết minh nội dung dự thảo </w:t>
      </w:r>
      <w:r w:rsidR="00392866">
        <w:rPr>
          <w:rFonts w:ascii="Times New Roman" w:hAnsi="Times New Roman" w:cs="Times New Roman"/>
          <w:bCs/>
          <w:color w:val="auto"/>
          <w:sz w:val="28"/>
          <w:szCs w:val="28"/>
          <w:lang w:val="en-US"/>
        </w:rPr>
        <w:t xml:space="preserve">Nghị quyết </w:t>
      </w:r>
      <w:r w:rsidRPr="009C5FB8">
        <w:rPr>
          <w:rFonts w:ascii="Times New Roman" w:hAnsi="Times New Roman" w:cs="Times New Roman"/>
          <w:bCs/>
          <w:color w:val="auto"/>
          <w:sz w:val="28"/>
          <w:szCs w:val="28"/>
          <w:lang w:val="en-US"/>
        </w:rPr>
        <w:t xml:space="preserve">với các quy định pháp luật hiện hành của </w:t>
      </w:r>
      <w:r w:rsidRPr="009C5FB8">
        <w:rPr>
          <w:rFonts w:ascii="Times New Roman" w:hAnsi="Times New Roman" w:cs="Times New Roman"/>
          <w:color w:val="auto"/>
          <w:sz w:val="28"/>
          <w:szCs w:val="28"/>
          <w:lang w:val="en-US"/>
        </w:rPr>
        <w:t>Ủy ban nhân dân Thành phố</w:t>
      </w:r>
      <w:r w:rsidRPr="009C5FB8">
        <w:rPr>
          <w:rFonts w:ascii="Times New Roman" w:hAnsi="Times New Roman" w:cs="Times New Roman"/>
          <w:bCs/>
          <w:color w:val="auto"/>
          <w:sz w:val="28"/>
          <w:szCs w:val="28"/>
          <w:lang w:val="en-US"/>
        </w:rPr>
        <w:t>./.</w:t>
      </w:r>
    </w:p>
    <w:sectPr w:rsidR="00A52668" w:rsidRPr="009C5FB8" w:rsidSect="00756642">
      <w:headerReference w:type="even" r:id="rId8"/>
      <w:headerReference w:type="default" r:id="rId9"/>
      <w:pgSz w:w="16840" w:h="11907" w:orient="landscape" w:code="9"/>
      <w:pgMar w:top="864" w:right="1138" w:bottom="864" w:left="1699" w:header="677"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103FC" w14:textId="77777777" w:rsidR="00896891" w:rsidRDefault="00896891">
      <w:r>
        <w:separator/>
      </w:r>
    </w:p>
  </w:endnote>
  <w:endnote w:type="continuationSeparator" w:id="0">
    <w:p w14:paraId="3C1C0AA9" w14:textId="77777777" w:rsidR="00896891" w:rsidRDefault="0089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4A5BF" w14:textId="77777777" w:rsidR="00896891" w:rsidRDefault="00896891">
      <w:r>
        <w:separator/>
      </w:r>
    </w:p>
  </w:footnote>
  <w:footnote w:type="continuationSeparator" w:id="0">
    <w:p w14:paraId="5A8AAB98" w14:textId="77777777" w:rsidR="00896891" w:rsidRDefault="008968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9DBDE" w14:textId="77777777" w:rsidR="00EB0B53" w:rsidRDefault="00EB0B5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98E4" w14:textId="26A9C888" w:rsidR="00EB0B53" w:rsidRDefault="00653FC5" w:rsidP="00B1009A">
    <w:pPr>
      <w:pStyle w:val="Header"/>
      <w:jc w:val="center"/>
    </w:pPr>
    <w:r>
      <w:fldChar w:fldCharType="begin"/>
    </w:r>
    <w:r>
      <w:instrText xml:space="preserve"> PAGE   \* MERGEFORMAT </w:instrText>
    </w:r>
    <w:r>
      <w:fldChar w:fldCharType="separate"/>
    </w:r>
    <w:r w:rsidR="001758A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82836"/>
    <w:multiLevelType w:val="hybridMultilevel"/>
    <w:tmpl w:val="AC5E38EE"/>
    <w:lvl w:ilvl="0" w:tplc="66D8F6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5593774"/>
    <w:multiLevelType w:val="multilevel"/>
    <w:tmpl w:val="350A26D8"/>
    <w:lvl w:ilvl="0">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9611" w:hanging="538"/>
      </w:pPr>
      <w:rPr>
        <w:rFonts w:ascii="Times New Roman" w:eastAsia="Times New Roman" w:hAnsi="Times New Roman" w:cs="Times New Roman" w:hint="default"/>
        <w:b/>
        <w:bCs/>
        <w:i w:val="0"/>
        <w:iCs/>
        <w:spacing w:val="0"/>
        <w:w w:val="100"/>
        <w:sz w:val="28"/>
        <w:szCs w:val="28"/>
        <w:lang w:val="vi" w:eastAsia="en-US" w:bidi="ar-SA"/>
      </w:rPr>
    </w:lvl>
    <w:lvl w:ilvl="3">
      <w:numFmt w:val="bullet"/>
      <w:lvlText w:val="•"/>
      <w:lvlJc w:val="left"/>
      <w:pPr>
        <w:ind w:left="1320" w:hanging="538"/>
      </w:pPr>
      <w:rPr>
        <w:rFonts w:hint="default"/>
        <w:lang w:val="vi" w:eastAsia="en-US" w:bidi="ar-SA"/>
      </w:rPr>
    </w:lvl>
    <w:lvl w:ilvl="4">
      <w:numFmt w:val="bullet"/>
      <w:lvlText w:val="•"/>
      <w:lvlJc w:val="left"/>
      <w:pPr>
        <w:ind w:left="1340" w:hanging="538"/>
      </w:pPr>
      <w:rPr>
        <w:rFonts w:hint="default"/>
        <w:lang w:val="vi" w:eastAsia="en-US" w:bidi="ar-SA"/>
      </w:rPr>
    </w:lvl>
    <w:lvl w:ilvl="5">
      <w:numFmt w:val="bullet"/>
      <w:lvlText w:val="•"/>
      <w:lvlJc w:val="left"/>
      <w:pPr>
        <w:ind w:left="2747" w:hanging="538"/>
      </w:pPr>
      <w:rPr>
        <w:rFonts w:hint="default"/>
        <w:lang w:val="vi" w:eastAsia="en-US" w:bidi="ar-SA"/>
      </w:rPr>
    </w:lvl>
    <w:lvl w:ilvl="6">
      <w:numFmt w:val="bullet"/>
      <w:lvlText w:val="•"/>
      <w:lvlJc w:val="left"/>
      <w:pPr>
        <w:ind w:left="4154" w:hanging="538"/>
      </w:pPr>
      <w:rPr>
        <w:rFonts w:hint="default"/>
        <w:lang w:val="vi" w:eastAsia="en-US" w:bidi="ar-SA"/>
      </w:rPr>
    </w:lvl>
    <w:lvl w:ilvl="7">
      <w:numFmt w:val="bullet"/>
      <w:lvlText w:val="•"/>
      <w:lvlJc w:val="left"/>
      <w:pPr>
        <w:ind w:left="5561" w:hanging="538"/>
      </w:pPr>
      <w:rPr>
        <w:rFonts w:hint="default"/>
        <w:lang w:val="vi" w:eastAsia="en-US" w:bidi="ar-SA"/>
      </w:rPr>
    </w:lvl>
    <w:lvl w:ilvl="8">
      <w:numFmt w:val="bullet"/>
      <w:lvlText w:val="•"/>
      <w:lvlJc w:val="left"/>
      <w:pPr>
        <w:ind w:left="6969" w:hanging="53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C5"/>
    <w:rsid w:val="00041715"/>
    <w:rsid w:val="0005461A"/>
    <w:rsid w:val="000D7FBC"/>
    <w:rsid w:val="00132F0E"/>
    <w:rsid w:val="00133FB9"/>
    <w:rsid w:val="001758A3"/>
    <w:rsid w:val="00184B6A"/>
    <w:rsid w:val="001C3F80"/>
    <w:rsid w:val="001D44F4"/>
    <w:rsid w:val="002018B4"/>
    <w:rsid w:val="00201F68"/>
    <w:rsid w:val="00210391"/>
    <w:rsid w:val="00245A6D"/>
    <w:rsid w:val="002621AE"/>
    <w:rsid w:val="0027387F"/>
    <w:rsid w:val="002741AA"/>
    <w:rsid w:val="00276F4B"/>
    <w:rsid w:val="00284A12"/>
    <w:rsid w:val="002A457D"/>
    <w:rsid w:val="002A4EF5"/>
    <w:rsid w:val="002B41D8"/>
    <w:rsid w:val="0031069D"/>
    <w:rsid w:val="003224F1"/>
    <w:rsid w:val="00324A08"/>
    <w:rsid w:val="00353A1E"/>
    <w:rsid w:val="003905BF"/>
    <w:rsid w:val="00392866"/>
    <w:rsid w:val="003A3D3C"/>
    <w:rsid w:val="003A5DF2"/>
    <w:rsid w:val="003C02CE"/>
    <w:rsid w:val="003C34AE"/>
    <w:rsid w:val="003D1DCA"/>
    <w:rsid w:val="003E458E"/>
    <w:rsid w:val="00415DB7"/>
    <w:rsid w:val="004233EE"/>
    <w:rsid w:val="00472BB2"/>
    <w:rsid w:val="0047482D"/>
    <w:rsid w:val="00477C54"/>
    <w:rsid w:val="00495AF8"/>
    <w:rsid w:val="004D6535"/>
    <w:rsid w:val="004E6AA9"/>
    <w:rsid w:val="0050458A"/>
    <w:rsid w:val="005510E4"/>
    <w:rsid w:val="00561271"/>
    <w:rsid w:val="00564DD7"/>
    <w:rsid w:val="00585D63"/>
    <w:rsid w:val="005A1519"/>
    <w:rsid w:val="005E0E88"/>
    <w:rsid w:val="00613C82"/>
    <w:rsid w:val="00626173"/>
    <w:rsid w:val="00636F92"/>
    <w:rsid w:val="00653771"/>
    <w:rsid w:val="00653FC5"/>
    <w:rsid w:val="0065777C"/>
    <w:rsid w:val="006A6636"/>
    <w:rsid w:val="006B6350"/>
    <w:rsid w:val="006C3E29"/>
    <w:rsid w:val="006F3174"/>
    <w:rsid w:val="006F47F7"/>
    <w:rsid w:val="006F5C81"/>
    <w:rsid w:val="0070381A"/>
    <w:rsid w:val="00727E59"/>
    <w:rsid w:val="0073454F"/>
    <w:rsid w:val="00756642"/>
    <w:rsid w:val="00771161"/>
    <w:rsid w:val="0077422F"/>
    <w:rsid w:val="00797656"/>
    <w:rsid w:val="007B6413"/>
    <w:rsid w:val="007D0C26"/>
    <w:rsid w:val="007E3F3C"/>
    <w:rsid w:val="0083248F"/>
    <w:rsid w:val="00855787"/>
    <w:rsid w:val="00863C1E"/>
    <w:rsid w:val="008842AA"/>
    <w:rsid w:val="00896891"/>
    <w:rsid w:val="008B4899"/>
    <w:rsid w:val="008D7B81"/>
    <w:rsid w:val="00920541"/>
    <w:rsid w:val="009313CA"/>
    <w:rsid w:val="00954967"/>
    <w:rsid w:val="009B2191"/>
    <w:rsid w:val="009C5C8F"/>
    <w:rsid w:val="009C5FB8"/>
    <w:rsid w:val="00A52668"/>
    <w:rsid w:val="00A928DE"/>
    <w:rsid w:val="00A96A18"/>
    <w:rsid w:val="00AA112B"/>
    <w:rsid w:val="00AC3D6D"/>
    <w:rsid w:val="00AD28B8"/>
    <w:rsid w:val="00AD7DFC"/>
    <w:rsid w:val="00B45545"/>
    <w:rsid w:val="00BA0163"/>
    <w:rsid w:val="00BB0B90"/>
    <w:rsid w:val="00BD4653"/>
    <w:rsid w:val="00BE0A8F"/>
    <w:rsid w:val="00C175D4"/>
    <w:rsid w:val="00C212F4"/>
    <w:rsid w:val="00C24CA9"/>
    <w:rsid w:val="00CB17CA"/>
    <w:rsid w:val="00CB3725"/>
    <w:rsid w:val="00CD60A6"/>
    <w:rsid w:val="00D739E5"/>
    <w:rsid w:val="00D93213"/>
    <w:rsid w:val="00D95D32"/>
    <w:rsid w:val="00DA4A15"/>
    <w:rsid w:val="00DA6D74"/>
    <w:rsid w:val="00DD7694"/>
    <w:rsid w:val="00E21739"/>
    <w:rsid w:val="00E34006"/>
    <w:rsid w:val="00E74A4C"/>
    <w:rsid w:val="00E95005"/>
    <w:rsid w:val="00EB0B53"/>
    <w:rsid w:val="00EB5789"/>
    <w:rsid w:val="00EC0813"/>
    <w:rsid w:val="00EE5194"/>
    <w:rsid w:val="00EF24F1"/>
    <w:rsid w:val="00F0142A"/>
    <w:rsid w:val="00F31F97"/>
    <w:rsid w:val="00F33836"/>
    <w:rsid w:val="00F459A1"/>
    <w:rsid w:val="00F75FCE"/>
    <w:rsid w:val="00F83635"/>
    <w:rsid w:val="00FC18A5"/>
    <w:rsid w:val="00FD0C84"/>
    <w:rsid w:val="00FD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062E"/>
  <w15:chartTrackingRefBased/>
  <w15:docId w15:val="{FC73BEA0-D8A3-4F6A-9859-64786D4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C5"/>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C5"/>
    <w:pPr>
      <w:widowControl/>
      <w:tabs>
        <w:tab w:val="center" w:pos="4680"/>
        <w:tab w:val="right" w:pos="9360"/>
      </w:tabs>
    </w:pPr>
    <w:rPr>
      <w:rFonts w:ascii="Times New Roman" w:hAnsi="Times New Roman" w:cs="Times New Roman"/>
      <w:color w:val="auto"/>
      <w:sz w:val="28"/>
      <w:szCs w:val="28"/>
      <w:lang w:val="en-US" w:eastAsia="en-US"/>
    </w:rPr>
  </w:style>
  <w:style w:type="character" w:customStyle="1" w:styleId="HeaderChar">
    <w:name w:val="Header Char"/>
    <w:basedOn w:val="DefaultParagraphFont"/>
    <w:link w:val="Header"/>
    <w:uiPriority w:val="99"/>
    <w:rsid w:val="00653FC5"/>
    <w:rPr>
      <w:rFonts w:eastAsia="Times New Roman"/>
    </w:rPr>
  </w:style>
  <w:style w:type="paragraph" w:styleId="ListParagraph">
    <w:name w:val="List Paragraph"/>
    <w:aliases w:val="Medium Grid 1 Accent 2,Heading 4111,Bullet -,Gạch đầu ḍng cấp 1,Figure_name,Equipment,Numbered Indented Text,Gạch đầu dòng cấp 1,level 1,Bulleted 14,heading6,bullet,l1,List Paragraph1,List Paragraph Char Char,b1,Number_1,List Paragraph 1"/>
    <w:basedOn w:val="Normal"/>
    <w:link w:val="ListParagraphChar"/>
    <w:uiPriority w:val="34"/>
    <w:qFormat/>
    <w:rsid w:val="00495AF8"/>
    <w:pPr>
      <w:ind w:left="720"/>
      <w:contextualSpacing/>
    </w:pPr>
  </w:style>
  <w:style w:type="table" w:styleId="TableGrid">
    <w:name w:val="Table Grid"/>
    <w:basedOn w:val="TableNormal"/>
    <w:uiPriority w:val="39"/>
    <w:rsid w:val="0049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233EE"/>
    <w:rPr>
      <w:rFonts w:eastAsia="Times New Roman"/>
    </w:rPr>
  </w:style>
  <w:style w:type="paragraph" w:styleId="NormalWeb">
    <w:name w:val="Normal (Web)"/>
    <w:basedOn w:val="Normal"/>
    <w:uiPriority w:val="99"/>
    <w:semiHidden/>
    <w:unhideWhenUsed/>
    <w:rsid w:val="00201F6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201F68"/>
    <w:rPr>
      <w:b/>
      <w:bCs/>
    </w:rPr>
  </w:style>
  <w:style w:type="paragraph" w:styleId="BalloonText">
    <w:name w:val="Balloon Text"/>
    <w:basedOn w:val="Normal"/>
    <w:link w:val="BalloonTextChar"/>
    <w:uiPriority w:val="99"/>
    <w:semiHidden/>
    <w:unhideWhenUsed/>
    <w:rsid w:val="00201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8"/>
    <w:rPr>
      <w:rFonts w:ascii="Segoe UI" w:eastAsia="Times New Roman" w:hAnsi="Segoe UI" w:cs="Segoe UI"/>
      <w:color w:val="000000"/>
      <w:sz w:val="18"/>
      <w:szCs w:val="18"/>
      <w:lang w:val="vi-VN" w:eastAsia="vi-VN"/>
    </w:rPr>
  </w:style>
  <w:style w:type="paragraph" w:styleId="NoSpacing">
    <w:name w:val="No Spacing"/>
    <w:uiPriority w:val="1"/>
    <w:qFormat/>
    <w:rsid w:val="009C5FB8"/>
    <w:rPr>
      <w:rFonts w:eastAsia="Times New Roman"/>
      <w:sz w:val="24"/>
      <w:szCs w:val="24"/>
    </w:rPr>
  </w:style>
  <w:style w:type="character" w:customStyle="1" w:styleId="normal-h1">
    <w:name w:val="normal-h1"/>
    <w:rsid w:val="0005461A"/>
    <w:rPr>
      <w:rFonts w:ascii=".VnTime" w:hAnsi=".VnTime" w:hint="default"/>
      <w:color w:val="0000FF"/>
      <w:sz w:val="24"/>
      <w:szCs w:val="24"/>
    </w:rPr>
  </w:style>
  <w:style w:type="character" w:customStyle="1" w:styleId="BodyTextChar">
    <w:name w:val="Body Text Char"/>
    <w:link w:val="BodyText"/>
    <w:locked/>
    <w:rsid w:val="0005461A"/>
    <w:rPr>
      <w:rFonts w:ascii=".VnAvantH" w:hAnsi=".VnAvantH"/>
      <w:b/>
    </w:rPr>
  </w:style>
  <w:style w:type="paragraph" w:styleId="BodyText">
    <w:name w:val="Body Text"/>
    <w:basedOn w:val="Normal"/>
    <w:link w:val="BodyTextChar"/>
    <w:rsid w:val="0005461A"/>
    <w:pPr>
      <w:widowControl/>
    </w:pPr>
    <w:rPr>
      <w:rFonts w:ascii=".VnAvantH" w:eastAsiaTheme="minorHAnsi" w:hAnsi=".VnAvantH" w:cs="Times New Roman"/>
      <w:b/>
      <w:color w:val="auto"/>
      <w:sz w:val="28"/>
      <w:szCs w:val="28"/>
      <w:lang w:val="en-US" w:eastAsia="en-US"/>
    </w:rPr>
  </w:style>
  <w:style w:type="character" w:customStyle="1" w:styleId="BodyTextChar1">
    <w:name w:val="Body Text Char1"/>
    <w:basedOn w:val="DefaultParagraphFont"/>
    <w:uiPriority w:val="99"/>
    <w:semiHidden/>
    <w:rsid w:val="0005461A"/>
    <w:rPr>
      <w:rFonts w:ascii="Courier New" w:eastAsia="Times New Roman" w:hAnsi="Courier New" w:cs="Courier New"/>
      <w:color w:val="000000"/>
      <w:sz w:val="24"/>
      <w:szCs w:val="24"/>
      <w:lang w:val="vi-VN" w:eastAsia="vi-VN"/>
    </w:rPr>
  </w:style>
  <w:style w:type="paragraph" w:styleId="BodyTextIndent">
    <w:name w:val="Body Text Indent"/>
    <w:basedOn w:val="Normal"/>
    <w:link w:val="BodyTextIndentChar"/>
    <w:uiPriority w:val="99"/>
    <w:unhideWhenUsed/>
    <w:rsid w:val="0005461A"/>
    <w:pPr>
      <w:widowControl/>
      <w:spacing w:after="120"/>
      <w:ind w:left="360"/>
    </w:pPr>
    <w:rPr>
      <w:rFonts w:ascii="Times New Roman" w:hAnsi="Times New Roman" w:cs="Times New Roman"/>
      <w:color w:val="auto"/>
      <w:lang w:val="en-US" w:eastAsia="en-US"/>
    </w:rPr>
  </w:style>
  <w:style w:type="character" w:customStyle="1" w:styleId="BodyTextIndentChar">
    <w:name w:val="Body Text Indent Char"/>
    <w:basedOn w:val="DefaultParagraphFont"/>
    <w:link w:val="BodyTextIndent"/>
    <w:uiPriority w:val="99"/>
    <w:rsid w:val="0005461A"/>
    <w:rPr>
      <w:rFonts w:eastAsia="Times New Roman"/>
      <w:sz w:val="24"/>
      <w:szCs w:val="24"/>
    </w:rPr>
  </w:style>
  <w:style w:type="character" w:customStyle="1" w:styleId="ListParagraphChar">
    <w:name w:val="List Paragraph Char"/>
    <w:aliases w:val="Medium Grid 1 Accent 2 Char,Heading 4111 Char,Bullet - Char,Gạch đầu ḍng cấp 1 Char,Figure_name Char,Equipment Char,Numbered Indented Text Char,Gạch đầu dòng cấp 1 Char,level 1 Char,Bulleted 14 Char,heading6 Char,bullet Char,l1 Char"/>
    <w:link w:val="ListParagraph"/>
    <w:uiPriority w:val="34"/>
    <w:qFormat/>
    <w:locked/>
    <w:rsid w:val="0005461A"/>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16576">
      <w:bodyDiv w:val="1"/>
      <w:marLeft w:val="0"/>
      <w:marRight w:val="0"/>
      <w:marTop w:val="0"/>
      <w:marBottom w:val="0"/>
      <w:divBdr>
        <w:top w:val="none" w:sz="0" w:space="0" w:color="auto"/>
        <w:left w:val="none" w:sz="0" w:space="0" w:color="auto"/>
        <w:bottom w:val="none" w:sz="0" w:space="0" w:color="auto"/>
        <w:right w:val="none" w:sz="0" w:space="0" w:color="auto"/>
      </w:divBdr>
    </w:div>
    <w:div w:id="20195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B0EF-739C-4FD7-9B20-CB7B75BE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2026-01-16T02:02:00Z</cp:lastPrinted>
  <dcterms:created xsi:type="dcterms:W3CDTF">2026-04-16T07:24:00Z</dcterms:created>
  <dcterms:modified xsi:type="dcterms:W3CDTF">2026-04-16T07:24:00Z</dcterms:modified>
</cp:coreProperties>
</file>