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4" w:type="dxa"/>
        <w:tblInd w:w="-341" w:type="dxa"/>
        <w:tblCellMar>
          <w:left w:w="85" w:type="dxa"/>
          <w:right w:w="85" w:type="dxa"/>
        </w:tblCellMar>
        <w:tblLook w:val="0000" w:firstRow="0" w:lastRow="0" w:firstColumn="0" w:lastColumn="0" w:noHBand="0" w:noVBand="0"/>
      </w:tblPr>
      <w:tblGrid>
        <w:gridCol w:w="3970"/>
        <w:gridCol w:w="5864"/>
      </w:tblGrid>
      <w:tr w:rsidR="00D12B5E" w:rsidRPr="00D12B5E" w14:paraId="4F06223A" w14:textId="77777777" w:rsidTr="00495AF8">
        <w:trPr>
          <w:cantSplit/>
          <w:trHeight w:val="1266"/>
        </w:trPr>
        <w:tc>
          <w:tcPr>
            <w:tcW w:w="3970" w:type="dxa"/>
          </w:tcPr>
          <w:p w14:paraId="7E800BC5" w14:textId="77777777" w:rsidR="00495AF8" w:rsidRPr="00D12B5E" w:rsidRDefault="00495AF8" w:rsidP="00495AF8">
            <w:pPr>
              <w:widowControl/>
              <w:tabs>
                <w:tab w:val="left" w:pos="977"/>
              </w:tabs>
              <w:jc w:val="center"/>
              <w:rPr>
                <w:rFonts w:ascii="Times New Roman" w:hAnsi="Times New Roman" w:cs="Times New Roman"/>
                <w:b/>
                <w:color w:val="auto"/>
                <w:sz w:val="26"/>
                <w:szCs w:val="26"/>
                <w:lang w:val="en-US" w:eastAsia="en-US"/>
              </w:rPr>
            </w:pPr>
            <w:r w:rsidRPr="00D12B5E">
              <w:rPr>
                <w:rFonts w:ascii="Times New Roman" w:hAnsi="Times New Roman" w:cs="Times New Roman"/>
                <w:b/>
                <w:color w:val="auto"/>
                <w:sz w:val="26"/>
                <w:szCs w:val="26"/>
                <w:lang w:val="en-US" w:eastAsia="en-US"/>
              </w:rPr>
              <w:t>ỦY BAN NHÂN DÂN</w:t>
            </w:r>
          </w:p>
          <w:p w14:paraId="1150939C" w14:textId="77777777" w:rsidR="00495AF8" w:rsidRPr="00D12B5E" w:rsidRDefault="00495AF8" w:rsidP="00495AF8">
            <w:pPr>
              <w:widowControl/>
              <w:jc w:val="center"/>
              <w:rPr>
                <w:rFonts w:ascii="Times New Roman" w:hAnsi="Times New Roman" w:cs="Times New Roman"/>
                <w:b/>
                <w:color w:val="auto"/>
                <w:sz w:val="26"/>
                <w:szCs w:val="26"/>
                <w:lang w:val="en-US" w:eastAsia="en-US"/>
              </w:rPr>
            </w:pPr>
            <w:r w:rsidRPr="00D12B5E">
              <w:rPr>
                <w:rFonts w:ascii="Times New Roman" w:hAnsi="Times New Roman" w:cs="Times New Roman"/>
                <w:b/>
                <w:color w:val="auto"/>
                <w:sz w:val="26"/>
                <w:szCs w:val="26"/>
                <w:lang w:val="en-US" w:eastAsia="en-US"/>
              </w:rPr>
              <w:t>THÀNH PHỐ HỒ CHÍ MINH</w:t>
            </w:r>
          </w:p>
          <w:p w14:paraId="5B3B71B5" w14:textId="77777777" w:rsidR="00495AF8" w:rsidRPr="00D12B5E" w:rsidRDefault="00495AF8" w:rsidP="00495AF8">
            <w:pPr>
              <w:widowControl/>
              <w:jc w:val="center"/>
              <w:rPr>
                <w:rFonts w:ascii="Times New Roman" w:hAnsi="Times New Roman" w:cs="Times New Roman"/>
                <w:color w:val="auto"/>
                <w:sz w:val="12"/>
                <w:szCs w:val="12"/>
                <w:lang w:val="en-US" w:eastAsia="en-US"/>
              </w:rPr>
            </w:pPr>
            <w:r w:rsidRPr="00D12B5E">
              <w:rPr>
                <w:rFonts w:ascii="Times New Roman" w:hAnsi="Times New Roman" w:cs="Times New Roman"/>
                <w:color w:val="auto"/>
                <w:sz w:val="12"/>
                <w:szCs w:val="12"/>
                <w:lang w:val="en-US" w:eastAsia="en-US"/>
              </w:rPr>
              <w:t>____________</w:t>
            </w:r>
          </w:p>
        </w:tc>
        <w:tc>
          <w:tcPr>
            <w:tcW w:w="5864" w:type="dxa"/>
          </w:tcPr>
          <w:p w14:paraId="128602C6" w14:textId="77777777" w:rsidR="00495AF8" w:rsidRPr="00D12B5E" w:rsidRDefault="00495AF8" w:rsidP="00495AF8">
            <w:pPr>
              <w:widowControl/>
              <w:jc w:val="center"/>
              <w:rPr>
                <w:rFonts w:ascii="Times New Roman" w:hAnsi="Times New Roman" w:cs="Times New Roman"/>
                <w:b/>
                <w:color w:val="auto"/>
                <w:spacing w:val="-8"/>
                <w:sz w:val="26"/>
                <w:szCs w:val="26"/>
                <w:lang w:val="en-US" w:eastAsia="en-US"/>
              </w:rPr>
            </w:pPr>
            <w:r w:rsidRPr="00D12B5E">
              <w:rPr>
                <w:rFonts w:ascii="Times New Roman" w:hAnsi="Times New Roman" w:cs="Times New Roman"/>
                <w:b/>
                <w:noProof/>
                <w:color w:val="auto"/>
                <w:spacing w:val="-8"/>
                <w:sz w:val="26"/>
                <w:szCs w:val="26"/>
                <w:lang w:val="en-US" w:eastAsia="en-US"/>
              </w:rPr>
              <w:t>CỘNG HÒA XÃ HỘI CHỦ NGHĨA VIỆT NAM</w:t>
            </w:r>
          </w:p>
          <w:p w14:paraId="3A252D7D" w14:textId="77777777" w:rsidR="00495AF8" w:rsidRPr="00D12B5E" w:rsidRDefault="00495AF8" w:rsidP="00495AF8">
            <w:pPr>
              <w:widowControl/>
              <w:jc w:val="center"/>
              <w:rPr>
                <w:rFonts w:ascii="Times New Roman" w:hAnsi="Times New Roman" w:cs="Times New Roman"/>
                <w:color w:val="auto"/>
                <w:sz w:val="26"/>
                <w:szCs w:val="26"/>
                <w:lang w:val="en-US" w:eastAsia="en-US"/>
              </w:rPr>
            </w:pPr>
            <w:r w:rsidRPr="00D12B5E">
              <w:rPr>
                <w:rFonts w:ascii="Times New Roman" w:hAnsi="Times New Roman" w:cs="Times New Roman"/>
                <w:b/>
                <w:color w:val="auto"/>
                <w:sz w:val="26"/>
                <w:szCs w:val="26"/>
                <w:lang w:val="en-US" w:eastAsia="en-US"/>
              </w:rPr>
              <w:t>Độc lập - Tự do - Hạnh phúc</w:t>
            </w:r>
          </w:p>
          <w:p w14:paraId="3F4ED9CB" w14:textId="77777777" w:rsidR="00495AF8" w:rsidRPr="00D12B5E" w:rsidRDefault="00495AF8" w:rsidP="00495AF8">
            <w:pPr>
              <w:widowControl/>
              <w:jc w:val="center"/>
              <w:rPr>
                <w:rFonts w:ascii="Times New Roman" w:hAnsi="Times New Roman" w:cs="Times New Roman"/>
                <w:i/>
                <w:iCs/>
                <w:color w:val="auto"/>
                <w:sz w:val="12"/>
                <w:szCs w:val="12"/>
                <w:lang w:val="en-US" w:eastAsia="en-US"/>
              </w:rPr>
            </w:pPr>
            <w:r w:rsidRPr="00D12B5E">
              <w:rPr>
                <w:rFonts w:ascii="Times New Roman" w:hAnsi="Times New Roman" w:cs="Times New Roman"/>
                <w:color w:val="auto"/>
                <w:sz w:val="12"/>
                <w:szCs w:val="12"/>
                <w:lang w:val="en-US" w:eastAsia="en-US"/>
              </w:rPr>
              <w:t>_________________________</w:t>
            </w:r>
            <w:r w:rsidR="0077422F" w:rsidRPr="00D12B5E">
              <w:rPr>
                <w:rFonts w:ascii="Times New Roman" w:hAnsi="Times New Roman" w:cs="Times New Roman"/>
                <w:color w:val="auto"/>
                <w:sz w:val="12"/>
                <w:szCs w:val="12"/>
                <w:lang w:val="en-US" w:eastAsia="en-US"/>
              </w:rPr>
              <w:t>__________________</w:t>
            </w:r>
            <w:r w:rsidRPr="00D12B5E">
              <w:rPr>
                <w:rFonts w:ascii="Times New Roman" w:hAnsi="Times New Roman" w:cs="Times New Roman"/>
                <w:color w:val="auto"/>
                <w:sz w:val="12"/>
                <w:szCs w:val="12"/>
                <w:lang w:val="en-US" w:eastAsia="en-US"/>
              </w:rPr>
              <w:t>__________</w:t>
            </w:r>
          </w:p>
        </w:tc>
      </w:tr>
      <w:tr w:rsidR="00D12B5E" w:rsidRPr="00D12B5E" w14:paraId="681AE536" w14:textId="77777777" w:rsidTr="00495AF8">
        <w:trPr>
          <w:cantSplit/>
          <w:trHeight w:val="418"/>
        </w:trPr>
        <w:tc>
          <w:tcPr>
            <w:tcW w:w="3970" w:type="dxa"/>
          </w:tcPr>
          <w:p w14:paraId="395BF0F9" w14:textId="77777777" w:rsidR="00495AF8" w:rsidRPr="00D12B5E" w:rsidRDefault="00495AF8" w:rsidP="00495AF8">
            <w:pPr>
              <w:widowControl/>
              <w:tabs>
                <w:tab w:val="left" w:pos="977"/>
              </w:tabs>
              <w:jc w:val="center"/>
              <w:rPr>
                <w:rFonts w:ascii="Times New Roman" w:hAnsi="Times New Roman" w:cs="Times New Roman"/>
                <w:color w:val="auto"/>
                <w:sz w:val="26"/>
                <w:szCs w:val="26"/>
                <w:lang w:val="en-US" w:eastAsia="en-US"/>
              </w:rPr>
            </w:pPr>
          </w:p>
        </w:tc>
        <w:tc>
          <w:tcPr>
            <w:tcW w:w="5864" w:type="dxa"/>
          </w:tcPr>
          <w:p w14:paraId="17385B7F" w14:textId="77777777" w:rsidR="00495AF8" w:rsidRPr="00D12B5E" w:rsidRDefault="00495AF8" w:rsidP="00495AF8">
            <w:pPr>
              <w:widowControl/>
              <w:jc w:val="center"/>
              <w:rPr>
                <w:rFonts w:ascii="Times New Roman" w:hAnsi="Times New Roman" w:cs="Times New Roman"/>
                <w:b/>
                <w:noProof/>
                <w:color w:val="auto"/>
                <w:spacing w:val="-8"/>
                <w:sz w:val="26"/>
                <w:szCs w:val="26"/>
                <w:lang w:val="en-US" w:eastAsia="en-US"/>
              </w:rPr>
            </w:pPr>
            <w:r w:rsidRPr="00D12B5E">
              <w:rPr>
                <w:rFonts w:ascii="Times New Roman" w:hAnsi="Times New Roman" w:cs="Times New Roman"/>
                <w:i/>
                <w:iCs/>
                <w:color w:val="auto"/>
                <w:spacing w:val="-8"/>
                <w:sz w:val="26"/>
                <w:szCs w:val="26"/>
                <w:lang w:val="en-US" w:eastAsia="en-US"/>
              </w:rPr>
              <w:t xml:space="preserve">Thành phố Hồ Chí Minh, ngày  </w:t>
            </w:r>
            <w:r w:rsidR="0050458A" w:rsidRPr="00D12B5E">
              <w:rPr>
                <w:rFonts w:ascii="Times New Roman" w:hAnsi="Times New Roman" w:cs="Times New Roman"/>
                <w:i/>
                <w:iCs/>
                <w:color w:val="auto"/>
                <w:spacing w:val="-8"/>
                <w:sz w:val="26"/>
                <w:szCs w:val="26"/>
                <w:lang w:val="en-US" w:eastAsia="en-US"/>
              </w:rPr>
              <w:t xml:space="preserve"> </w:t>
            </w:r>
            <w:r w:rsidRPr="00D12B5E">
              <w:rPr>
                <w:rFonts w:ascii="Times New Roman" w:hAnsi="Times New Roman" w:cs="Times New Roman"/>
                <w:i/>
                <w:iCs/>
                <w:color w:val="auto"/>
                <w:spacing w:val="-8"/>
                <w:sz w:val="26"/>
                <w:szCs w:val="26"/>
                <w:lang w:val="en-US" w:eastAsia="en-US"/>
              </w:rPr>
              <w:t xml:space="preserve"> </w:t>
            </w:r>
            <w:r w:rsidR="0050458A" w:rsidRPr="00D12B5E">
              <w:rPr>
                <w:rFonts w:ascii="Times New Roman" w:hAnsi="Times New Roman" w:cs="Times New Roman"/>
                <w:i/>
                <w:iCs/>
                <w:color w:val="auto"/>
                <w:spacing w:val="-8"/>
                <w:sz w:val="26"/>
                <w:szCs w:val="26"/>
                <w:lang w:val="en-US" w:eastAsia="en-US"/>
              </w:rPr>
              <w:t xml:space="preserve"> </w:t>
            </w:r>
            <w:r w:rsidRPr="00D12B5E">
              <w:rPr>
                <w:rFonts w:ascii="Times New Roman" w:hAnsi="Times New Roman" w:cs="Times New Roman"/>
                <w:i/>
                <w:iCs/>
                <w:color w:val="auto"/>
                <w:spacing w:val="-8"/>
                <w:sz w:val="26"/>
                <w:szCs w:val="26"/>
                <w:lang w:val="en-US" w:eastAsia="en-US"/>
              </w:rPr>
              <w:t xml:space="preserve"> tháng   </w:t>
            </w:r>
            <w:r w:rsidR="0050458A" w:rsidRPr="00D12B5E">
              <w:rPr>
                <w:rFonts w:ascii="Times New Roman" w:hAnsi="Times New Roman" w:cs="Times New Roman"/>
                <w:i/>
                <w:iCs/>
                <w:color w:val="auto"/>
                <w:spacing w:val="-8"/>
                <w:sz w:val="26"/>
                <w:szCs w:val="26"/>
                <w:lang w:val="en-US" w:eastAsia="en-US"/>
              </w:rPr>
              <w:t xml:space="preserve"> </w:t>
            </w:r>
            <w:r w:rsidR="0062162F" w:rsidRPr="00D12B5E">
              <w:rPr>
                <w:rFonts w:ascii="Times New Roman" w:hAnsi="Times New Roman" w:cs="Times New Roman"/>
                <w:i/>
                <w:iCs/>
                <w:color w:val="auto"/>
                <w:spacing w:val="-8"/>
                <w:sz w:val="26"/>
                <w:szCs w:val="26"/>
                <w:lang w:val="en-US" w:eastAsia="en-US"/>
              </w:rPr>
              <w:t xml:space="preserve"> năm 2026</w:t>
            </w:r>
          </w:p>
        </w:tc>
      </w:tr>
    </w:tbl>
    <w:p w14:paraId="6AD82CCB" w14:textId="77777777" w:rsidR="00653FC5" w:rsidRPr="00D12B5E" w:rsidRDefault="00653FC5" w:rsidP="00653FC5">
      <w:pPr>
        <w:spacing w:before="120"/>
        <w:rPr>
          <w:rFonts w:ascii="Times New Roman" w:hAnsi="Times New Roman" w:cs="Times New Roman"/>
          <w:b/>
          <w:bCs/>
          <w:color w:val="auto"/>
          <w:sz w:val="26"/>
          <w:szCs w:val="26"/>
          <w:lang w:val="en-US"/>
        </w:rPr>
      </w:pPr>
    </w:p>
    <w:p w14:paraId="023B6255" w14:textId="77777777" w:rsidR="00695F44" w:rsidRPr="00D12B5E" w:rsidRDefault="00653FC5" w:rsidP="00495AF8">
      <w:pPr>
        <w:jc w:val="center"/>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rPr>
        <w:t>BẢN SO SÁNH</w:t>
      </w:r>
      <w:r w:rsidR="00695F44" w:rsidRPr="00D12B5E">
        <w:rPr>
          <w:rFonts w:ascii="Times New Roman" w:hAnsi="Times New Roman" w:cs="Times New Roman"/>
          <w:b/>
          <w:bCs/>
          <w:color w:val="auto"/>
          <w:sz w:val="28"/>
          <w:szCs w:val="28"/>
          <w:lang w:val="en-US"/>
        </w:rPr>
        <w:t>, THUYẾT MINH</w:t>
      </w:r>
    </w:p>
    <w:p w14:paraId="3B3810A6" w14:textId="77777777" w:rsidR="00695F44" w:rsidRPr="00D12B5E" w:rsidRDefault="00695F44" w:rsidP="00495AF8">
      <w:pPr>
        <w:jc w:val="center"/>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rPr>
        <w:t>dự thảo</w:t>
      </w:r>
      <w:r w:rsidRPr="00D12B5E">
        <w:rPr>
          <w:rFonts w:ascii="Times New Roman" w:hAnsi="Times New Roman" w:cs="Times New Roman"/>
          <w:b/>
          <w:bCs/>
          <w:color w:val="auto"/>
          <w:sz w:val="28"/>
          <w:szCs w:val="28"/>
          <w:lang w:val="en-US"/>
        </w:rPr>
        <w:t xml:space="preserve"> Nghị quyết thay thế Nghị quyết số 30/2024/NQ-HĐND</w:t>
      </w:r>
    </w:p>
    <w:p w14:paraId="70E38BDE" w14:textId="77777777" w:rsidR="00653FC5" w:rsidRPr="00D12B5E" w:rsidRDefault="00695F44" w:rsidP="00495AF8">
      <w:pPr>
        <w:jc w:val="center"/>
        <w:rPr>
          <w:rFonts w:ascii="Times New Roman" w:hAnsi="Times New Roman" w:cs="Times New Roman"/>
          <w:b/>
          <w:bCs/>
          <w:color w:val="auto"/>
          <w:sz w:val="28"/>
          <w:szCs w:val="28"/>
        </w:rPr>
      </w:pPr>
      <w:r w:rsidRPr="00D12B5E">
        <w:rPr>
          <w:rFonts w:ascii="Times New Roman" w:hAnsi="Times New Roman" w:cs="Times New Roman"/>
          <w:b/>
          <w:bCs/>
          <w:color w:val="auto"/>
          <w:sz w:val="28"/>
          <w:szCs w:val="28"/>
          <w:lang w:val="en-US"/>
        </w:rPr>
        <w:t>ngày 12 tháng 12 năm 2024 của Hội đồng nhân dân tỉnh Bình Dương</w:t>
      </w:r>
    </w:p>
    <w:p w14:paraId="6479B324" w14:textId="77777777" w:rsidR="00495AF8" w:rsidRPr="00D12B5E" w:rsidRDefault="00695F44" w:rsidP="00495AF8">
      <w:pPr>
        <w:jc w:val="center"/>
        <w:rPr>
          <w:rFonts w:ascii="Times New Roman" w:hAnsi="Times New Roman" w:cs="Times New Roman"/>
          <w:b/>
          <w:bCs/>
          <w:color w:val="auto"/>
          <w:sz w:val="26"/>
          <w:szCs w:val="26"/>
        </w:rPr>
      </w:pPr>
      <w:r w:rsidRPr="00D12B5E">
        <w:rPr>
          <w:rFonts w:ascii="Times New Roman" w:hAnsi="Times New Roman" w:cs="Times New Roman"/>
          <w:b/>
          <w:bCs/>
          <w:noProof/>
          <w:color w:val="auto"/>
          <w:sz w:val="26"/>
          <w:szCs w:val="26"/>
          <w:lang w:val="en-US" w:eastAsia="en-US"/>
        </w:rPr>
        <mc:AlternateContent>
          <mc:Choice Requires="wps">
            <w:drawing>
              <wp:anchor distT="0" distB="0" distL="114300" distR="114300" simplePos="0" relativeHeight="251660288" behindDoc="0" locked="0" layoutInCell="1" allowOverlap="1" wp14:anchorId="38B5CB8A" wp14:editId="314E41CE">
                <wp:simplePos x="0" y="0"/>
                <wp:positionH relativeFrom="column">
                  <wp:posOffset>1966595</wp:posOffset>
                </wp:positionH>
                <wp:positionV relativeFrom="paragraph">
                  <wp:posOffset>25400</wp:posOffset>
                </wp:positionV>
                <wp:extent cx="22479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2479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22B4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4.85pt,2pt" to="33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" strokecolor="#5b9bd5 [3204]" strokeweight=".5pt">
                <v:stroke joinstyle="miter"/>
              </v:line>
            </w:pict>
          </mc:Fallback>
        </mc:AlternateContent>
      </w:r>
    </w:p>
    <w:p w14:paraId="2BDA50B5" w14:textId="77777777" w:rsidR="003A4753" w:rsidRPr="00D12B5E" w:rsidRDefault="003C258D" w:rsidP="003A4753">
      <w:pPr>
        <w:spacing w:before="120" w:after="120"/>
        <w:ind w:firstLine="567"/>
        <w:jc w:val="both"/>
        <w:rPr>
          <w:rFonts w:ascii="Times New Roman" w:hAnsi="Times New Roman" w:cs="Times New Roman"/>
          <w:b/>
          <w:bCs/>
          <w:color w:val="auto"/>
          <w:sz w:val="28"/>
          <w:szCs w:val="28"/>
        </w:rPr>
      </w:pPr>
      <w:r w:rsidRPr="00D12B5E">
        <w:rPr>
          <w:rFonts w:ascii="Times New Roman" w:hAnsi="Times New Roman" w:cs="Times New Roman"/>
          <w:color w:val="auto"/>
          <w:lang w:val="en-GB"/>
        </w:rPr>
        <w:tab/>
      </w:r>
      <w:r w:rsidR="003A4753" w:rsidRPr="00D12B5E">
        <w:rPr>
          <w:rFonts w:ascii="Times New Roman" w:hAnsi="Times New Roman" w:cs="Times New Roman"/>
          <w:b/>
          <w:bCs/>
          <w:color w:val="auto"/>
          <w:sz w:val="28"/>
          <w:szCs w:val="28"/>
        </w:rPr>
        <w:t>1. Đối với văn bản sửa đổi, bổ sung, thay thế</w:t>
      </w:r>
    </w:p>
    <w:p w14:paraId="7157076B" w14:textId="77777777" w:rsidR="003A4753" w:rsidRPr="00D12B5E" w:rsidRDefault="003A4753" w:rsidP="003A4753">
      <w:pPr>
        <w:ind w:firstLine="720"/>
        <w:jc w:val="both"/>
        <w:rPr>
          <w:rFonts w:ascii="Times New Roman" w:hAnsi="Times New Roman" w:cs="Times New Roman"/>
          <w:b/>
          <w:color w:val="auto"/>
          <w:sz w:val="28"/>
          <w:szCs w:val="28"/>
          <w:u w:val="single"/>
          <w:lang w:val="en-GB"/>
        </w:rPr>
      </w:pPr>
      <w:r w:rsidRPr="00D12B5E">
        <w:rPr>
          <w:rFonts w:ascii="Times New Roman" w:hAnsi="Times New Roman" w:cs="Times New Roman"/>
          <w:color w:val="auto"/>
          <w:sz w:val="28"/>
          <w:szCs w:val="28"/>
          <w:lang w:val="en-GB"/>
        </w:rPr>
        <w:t xml:space="preserve">Ngày 12 tháng 12 năm 2024, Hội đồng nhân dân tỉnh Bình Dương đã ban hành </w:t>
      </w:r>
      <w:r w:rsidRPr="00D12B5E">
        <w:rPr>
          <w:rFonts w:ascii="Times New Roman" w:hAnsi="Times New Roman" w:cs="Times New Roman"/>
          <w:bCs/>
          <w:color w:val="auto"/>
          <w:sz w:val="28"/>
          <w:szCs w:val="28"/>
          <w:lang w:val="en-GB"/>
        </w:rPr>
        <w:t>Nghị quyết số 30/2024/NQ-HĐND</w:t>
      </w:r>
      <w:r w:rsidRPr="00D12B5E">
        <w:rPr>
          <w:rFonts w:ascii="Times New Roman" w:hAnsi="Times New Roman" w:cs="Times New Roman"/>
          <w:color w:val="auto"/>
          <w:sz w:val="28"/>
          <w:szCs w:val="28"/>
          <w:lang w:val="en-GB"/>
        </w:rPr>
        <w:t xml:space="preserve"> quy định </w:t>
      </w:r>
      <w:r w:rsidRPr="00D12B5E">
        <w:rPr>
          <w:rFonts w:ascii="Times New Roman" w:hAnsi="Times New Roman" w:cs="Times New Roman"/>
          <w:bCs/>
          <w:color w:val="auto"/>
          <w:sz w:val="28"/>
          <w:szCs w:val="28"/>
        </w:rPr>
        <w:t>về chế độ hỗ trợ, chi tiêu tài chính và định mức chi</w:t>
      </w:r>
      <w:r w:rsidRPr="00D12B5E">
        <w:rPr>
          <w:rFonts w:ascii="Times New Roman" w:hAnsi="Times New Roman" w:cs="Times New Roman"/>
          <w:bCs/>
          <w:color w:val="auto"/>
          <w:sz w:val="28"/>
          <w:szCs w:val="28"/>
          <w:lang w:val="en-US"/>
        </w:rPr>
        <w:t xml:space="preserve"> </w:t>
      </w:r>
      <w:r w:rsidRPr="00D12B5E">
        <w:rPr>
          <w:rFonts w:ascii="Times New Roman" w:hAnsi="Times New Roman" w:cs="Times New Roman"/>
          <w:bCs/>
          <w:color w:val="auto"/>
          <w:sz w:val="28"/>
          <w:szCs w:val="28"/>
        </w:rPr>
        <w:t xml:space="preserve">đối với lĩnh vực văn hóa trên địa bàn </w:t>
      </w:r>
      <w:r w:rsidRPr="00D12B5E">
        <w:rPr>
          <w:rFonts w:ascii="Times New Roman" w:hAnsi="Times New Roman" w:cs="Times New Roman"/>
          <w:bCs/>
          <w:color w:val="auto"/>
          <w:sz w:val="28"/>
          <w:szCs w:val="28"/>
          <w:lang w:val="en-US"/>
        </w:rPr>
        <w:t>tỉnh Bình Dương (cũ)</w:t>
      </w:r>
      <w:r w:rsidRPr="00D12B5E">
        <w:rPr>
          <w:rFonts w:ascii="Times New Roman" w:hAnsi="Times New Roman" w:cs="Times New Roman"/>
          <w:color w:val="auto"/>
          <w:sz w:val="28"/>
          <w:szCs w:val="28"/>
          <w:lang w:val="en-GB"/>
        </w:rPr>
        <w:t xml:space="preserve">; </w:t>
      </w:r>
      <w:r w:rsidRPr="00D12B5E">
        <w:rPr>
          <w:rFonts w:ascii="Times New Roman" w:hAnsi="Times New Roman" w:cs="Times New Roman"/>
          <w:b/>
          <w:color w:val="auto"/>
          <w:sz w:val="28"/>
          <w:szCs w:val="28"/>
          <w:u w:val="single"/>
          <w:lang w:val="en-GB"/>
        </w:rPr>
        <w:t xml:space="preserve">Nghị quyết này có hiệu </w:t>
      </w:r>
      <w:r w:rsidR="00D8553A" w:rsidRPr="00D12B5E">
        <w:rPr>
          <w:rFonts w:ascii="Times New Roman" w:hAnsi="Times New Roman" w:cs="Times New Roman"/>
          <w:b/>
          <w:color w:val="auto"/>
          <w:sz w:val="28"/>
          <w:szCs w:val="28"/>
          <w:u w:val="single"/>
          <w:lang w:val="en-GB"/>
        </w:rPr>
        <w:t>lực từ ngày 01 tháng 01 năm 2025</w:t>
      </w:r>
      <w:r w:rsidRPr="00D12B5E">
        <w:rPr>
          <w:rFonts w:ascii="Times New Roman" w:hAnsi="Times New Roman" w:cs="Times New Roman"/>
          <w:b/>
          <w:color w:val="auto"/>
          <w:sz w:val="28"/>
          <w:szCs w:val="28"/>
          <w:u w:val="single"/>
          <w:lang w:val="en-GB"/>
        </w:rPr>
        <w:t>.</w:t>
      </w:r>
    </w:p>
    <w:p w14:paraId="32C481A4" w14:textId="77777777" w:rsidR="003A4753" w:rsidRPr="00D12B5E" w:rsidRDefault="003A4753" w:rsidP="003A4753">
      <w:pPr>
        <w:spacing w:before="120"/>
        <w:jc w:val="both"/>
        <w:rPr>
          <w:rFonts w:ascii="Times New Roman" w:hAnsi="Times New Roman" w:cs="Times New Roman"/>
          <w:color w:val="auto"/>
          <w:sz w:val="28"/>
          <w:szCs w:val="28"/>
          <w:lang w:val="en-GB"/>
        </w:rPr>
      </w:pPr>
      <w:r w:rsidRPr="00D12B5E">
        <w:rPr>
          <w:rFonts w:ascii="Times New Roman" w:hAnsi="Times New Roman" w:cs="Times New Roman"/>
          <w:color w:val="auto"/>
          <w:sz w:val="28"/>
          <w:szCs w:val="28"/>
          <w:lang w:val="en-GB"/>
        </w:rPr>
        <w:tab/>
        <w:t xml:space="preserve">Thực hiện </w:t>
      </w:r>
      <w:r w:rsidRPr="00D12B5E">
        <w:rPr>
          <w:rFonts w:ascii="Times New Roman" w:hAnsi="Times New Roman" w:cs="Times New Roman"/>
          <w:bCs/>
          <w:color w:val="auto"/>
          <w:sz w:val="28"/>
          <w:szCs w:val="28"/>
          <w:lang w:val="en-GB"/>
        </w:rPr>
        <w:t>Nghị quyết số 202/2025/QH15 ngày 12 tháng 6 năm 2025 của Quốc hội</w:t>
      </w:r>
      <w:r w:rsidRPr="00D12B5E">
        <w:rPr>
          <w:rFonts w:ascii="Times New Roman" w:hAnsi="Times New Roman" w:cs="Times New Roman"/>
          <w:color w:val="auto"/>
          <w:sz w:val="28"/>
          <w:szCs w:val="28"/>
          <w:lang w:val="en-GB"/>
        </w:rPr>
        <w:t xml:space="preserve"> về việc sắp xếp đơn vị hành chính cấp tỉnh, toàn bộ diện tích tự nhiên và quy mô dân số của Thành phố Hồ Chí Minh, tỉnh Bà Rịa - Vũng Tàu và tỉnh Bình Dương đã được sáp nhập để hình thành </w:t>
      </w:r>
      <w:r w:rsidRPr="00D12B5E">
        <w:rPr>
          <w:rFonts w:ascii="Times New Roman" w:hAnsi="Times New Roman" w:cs="Times New Roman"/>
          <w:bCs/>
          <w:color w:val="auto"/>
          <w:sz w:val="28"/>
          <w:szCs w:val="28"/>
          <w:lang w:val="en-GB"/>
        </w:rPr>
        <w:t>Thành phố Hồ Chí Minh (mới)</w:t>
      </w:r>
      <w:r w:rsidRPr="00D12B5E">
        <w:rPr>
          <w:rFonts w:ascii="Times New Roman" w:hAnsi="Times New Roman" w:cs="Times New Roman"/>
          <w:color w:val="auto"/>
          <w:sz w:val="28"/>
          <w:szCs w:val="28"/>
          <w:lang w:val="en-GB"/>
        </w:rPr>
        <w:t>, chính thức hoạt động từ ngày 01 tháng 7 năm 2025.</w:t>
      </w:r>
    </w:p>
    <w:p w14:paraId="37AE4E77" w14:textId="77777777" w:rsidR="003A4753" w:rsidRPr="00D12B5E" w:rsidRDefault="003A4753" w:rsidP="003A4753">
      <w:pPr>
        <w:pStyle w:val="Normal1"/>
        <w:spacing w:before="100" w:after="100"/>
        <w:ind w:firstLine="567"/>
        <w:jc w:val="both"/>
        <w:rPr>
          <w:lang w:val="en-GB"/>
        </w:rPr>
      </w:pPr>
      <w:r w:rsidRPr="00D12B5E">
        <w:rPr>
          <w:lang w:val="en-GB"/>
        </w:rPr>
        <w:tab/>
        <w:t xml:space="preserve">Qua rà soát các chính sách về </w:t>
      </w:r>
      <w:r w:rsidR="00D8553A" w:rsidRPr="00D12B5E">
        <w:rPr>
          <w:lang w:val="en-GB"/>
        </w:rPr>
        <w:t xml:space="preserve">hoạt động </w:t>
      </w:r>
      <w:r w:rsidRPr="00D12B5E">
        <w:rPr>
          <w:lang w:val="en-GB"/>
        </w:rPr>
        <w:t xml:space="preserve">văn hóa cơ sở, Hội đồng nhân dân tỉnh Bình Dương ban hành Nghị quyết số 30/2024/NQ-HĐND ngày 12 tháng 12 năm 2024 quy định </w:t>
      </w:r>
      <w:r w:rsidRPr="00D12B5E">
        <w:rPr>
          <w:bCs/>
        </w:rPr>
        <w:t>về chế độ hỗ trợ, chi tiêu tài chính và định mức chi đối với lĩnh vực văn hóa trên địa bàn tỉnh Bình Dương (cũ)</w:t>
      </w:r>
      <w:r w:rsidRPr="00D12B5E">
        <w:rPr>
          <w:lang w:val="en-GB"/>
        </w:rPr>
        <w:t>.</w:t>
      </w:r>
    </w:p>
    <w:p w14:paraId="3504F58F" w14:textId="77777777" w:rsidR="003A4753" w:rsidRPr="00D12B5E" w:rsidRDefault="00B616FD" w:rsidP="001C631C">
      <w:pPr>
        <w:pStyle w:val="Normal1"/>
        <w:spacing w:before="100" w:after="100"/>
        <w:ind w:firstLine="567"/>
        <w:jc w:val="both"/>
      </w:pPr>
      <w:r w:rsidRPr="00D12B5E">
        <w:rPr>
          <w:lang w:val="en-GB"/>
        </w:rPr>
        <w:t xml:space="preserve">Trên tinh thần </w:t>
      </w:r>
      <w:r w:rsidR="00D8553A" w:rsidRPr="00D12B5E">
        <w:rPr>
          <w:lang w:val="en-GB"/>
        </w:rPr>
        <w:t xml:space="preserve">tiếp nhận, </w:t>
      </w:r>
      <w:r w:rsidRPr="00D12B5E">
        <w:rPr>
          <w:lang w:val="en-GB"/>
        </w:rPr>
        <w:t xml:space="preserve">kế thừa lựa chọn các chế độ, chính sách nổi trội phù hợp đã được ban hành tại Nghị quyết số 30/2024/NQ-HĐND ngày 12 tháng 12 năm 2024 của Hội đồng nhân </w:t>
      </w:r>
      <w:r w:rsidR="004921F2" w:rsidRPr="00D12B5E">
        <w:rPr>
          <w:lang w:val="en-GB"/>
        </w:rPr>
        <w:t>dân tỉnh Bình Dương (trước đây).</w:t>
      </w:r>
      <w:r w:rsidRPr="00D12B5E">
        <w:rPr>
          <w:lang w:val="en-GB"/>
        </w:rPr>
        <w:t xml:space="preserve"> </w:t>
      </w:r>
      <w:r w:rsidR="004921F2" w:rsidRPr="00D12B5E">
        <w:rPr>
          <w:lang w:val="en-GB"/>
        </w:rPr>
        <w:t xml:space="preserve">Đồng </w:t>
      </w:r>
      <w:r w:rsidR="00D8553A" w:rsidRPr="00D12B5E">
        <w:rPr>
          <w:lang w:val="en-GB"/>
        </w:rPr>
        <w:t xml:space="preserve">thời </w:t>
      </w:r>
      <w:r w:rsidRPr="00D12B5E">
        <w:rPr>
          <w:lang w:val="en-GB"/>
        </w:rPr>
        <w:t xml:space="preserve">để </w:t>
      </w:r>
      <w:r w:rsidRPr="00D12B5E">
        <w:rPr>
          <w:bCs/>
          <w:lang w:val="en-GB"/>
        </w:rPr>
        <w:t xml:space="preserve">thống nhất </w:t>
      </w:r>
      <w:r w:rsidR="004921F2" w:rsidRPr="00D12B5E">
        <w:rPr>
          <w:bCs/>
          <w:lang w:val="en-GB"/>
        </w:rPr>
        <w:t xml:space="preserve">trong áp dụng thực hiện </w:t>
      </w:r>
      <w:r w:rsidRPr="00D12B5E">
        <w:rPr>
          <w:bCs/>
          <w:lang w:val="en-GB"/>
        </w:rPr>
        <w:t>chính sách</w:t>
      </w:r>
      <w:r w:rsidR="001C631C" w:rsidRPr="00D12B5E">
        <w:rPr>
          <w:bCs/>
          <w:lang w:val="en-GB"/>
        </w:rPr>
        <w:t xml:space="preserve"> về </w:t>
      </w:r>
      <w:r w:rsidR="001C631C" w:rsidRPr="00D12B5E">
        <w:rPr>
          <w:lang w:val="en-GB"/>
        </w:rPr>
        <w:t xml:space="preserve">nội dung và mức chi các giải thưởng, </w:t>
      </w:r>
      <w:r w:rsidR="004921F2" w:rsidRPr="00D12B5E">
        <w:rPr>
          <w:lang w:val="en-GB"/>
        </w:rPr>
        <w:t>qua đó</w:t>
      </w:r>
      <w:r w:rsidRPr="00D12B5E">
        <w:rPr>
          <w:lang w:val="en-GB"/>
        </w:rPr>
        <w:t xml:space="preserve"> </w:t>
      </w:r>
      <w:r w:rsidR="004921F2" w:rsidRPr="00D12B5E">
        <w:rPr>
          <w:lang w:val="en-GB"/>
        </w:rPr>
        <w:t xml:space="preserve">tạo sự </w:t>
      </w:r>
      <w:r w:rsidRPr="00D12B5E">
        <w:rPr>
          <w:bCs/>
          <w:lang w:val="en-GB"/>
        </w:rPr>
        <w:t xml:space="preserve">động viên, </w:t>
      </w:r>
      <w:r w:rsidR="001C631C" w:rsidRPr="00D12B5E">
        <w:rPr>
          <w:bCs/>
          <w:lang w:val="en-GB"/>
        </w:rPr>
        <w:t>khuyến khích</w:t>
      </w:r>
      <w:r w:rsidR="004921F2" w:rsidRPr="00D12B5E">
        <w:rPr>
          <w:bCs/>
          <w:lang w:val="en-GB"/>
        </w:rPr>
        <w:t xml:space="preserve"> rộng rãi</w:t>
      </w:r>
      <w:r w:rsidR="001C631C" w:rsidRPr="00D12B5E">
        <w:rPr>
          <w:bCs/>
          <w:lang w:val="en-GB"/>
        </w:rPr>
        <w:t xml:space="preserve"> lực lượng tham gia các hoạt động văn hóa </w:t>
      </w:r>
      <w:r w:rsidR="004921F2" w:rsidRPr="00D12B5E">
        <w:rPr>
          <w:bCs/>
          <w:lang w:val="en-GB"/>
        </w:rPr>
        <w:t>nhất là các</w:t>
      </w:r>
      <w:r w:rsidR="001C631C" w:rsidRPr="00D12B5E">
        <w:rPr>
          <w:lang w:val="en-GB"/>
        </w:rPr>
        <w:t xml:space="preserve"> phong trào văn hóa, nghệ thuật quần chúng trên địa b</w:t>
      </w:r>
      <w:r w:rsidR="004921F2" w:rsidRPr="00D12B5E">
        <w:rPr>
          <w:lang w:val="en-GB"/>
        </w:rPr>
        <w:t xml:space="preserve">àn Thành phố Hồ Chí Minh, </w:t>
      </w:r>
      <w:r w:rsidR="003A4753" w:rsidRPr="00D12B5E">
        <w:rPr>
          <w:lang w:val="en-GB"/>
        </w:rPr>
        <w:t xml:space="preserve">Ủy ban nhân dân Thành phố thấy cần thiết xây dựng một nghị quyết thay thế, bảo đảm phù hợp với </w:t>
      </w:r>
      <w:r w:rsidR="004921F2" w:rsidRPr="00D12B5E">
        <w:rPr>
          <w:lang w:val="en-GB"/>
        </w:rPr>
        <w:t xml:space="preserve">quy mô, </w:t>
      </w:r>
      <w:r w:rsidR="003A4753" w:rsidRPr="00D12B5E">
        <w:rPr>
          <w:lang w:val="en-GB"/>
        </w:rPr>
        <w:t>điều kiện kinh tế - xã</w:t>
      </w:r>
      <w:r w:rsidR="001C631C" w:rsidRPr="00D12B5E">
        <w:rPr>
          <w:lang w:val="en-GB"/>
        </w:rPr>
        <w:t xml:space="preserve"> hội của Thành phố Hồ Chí Minh </w:t>
      </w:r>
      <w:r w:rsidR="003A4753" w:rsidRPr="00D12B5E">
        <w:rPr>
          <w:lang w:val="en-GB"/>
        </w:rPr>
        <w:t>hiện nay.</w:t>
      </w:r>
    </w:p>
    <w:p w14:paraId="1A4D4FFC" w14:textId="77777777" w:rsidR="00D03E63" w:rsidRPr="00D12B5E" w:rsidRDefault="003A4753" w:rsidP="003A4753">
      <w:pPr>
        <w:pStyle w:val="Normal1"/>
        <w:spacing w:before="100" w:after="100"/>
        <w:ind w:firstLine="567"/>
        <w:jc w:val="both"/>
        <w:rPr>
          <w:lang w:val="en-GB"/>
        </w:rPr>
        <w:sectPr w:rsidR="00D03E63" w:rsidRPr="00D12B5E" w:rsidSect="00201F68">
          <w:headerReference w:type="even" r:id="rId8"/>
          <w:headerReference w:type="default" r:id="rId9"/>
          <w:pgSz w:w="11907" w:h="16840" w:code="9"/>
          <w:pgMar w:top="851" w:right="851" w:bottom="851" w:left="1418" w:header="680" w:footer="0" w:gutter="0"/>
          <w:cols w:space="720"/>
          <w:noEndnote/>
          <w:titlePg/>
          <w:docGrid w:linePitch="360"/>
        </w:sectPr>
      </w:pPr>
      <w:r w:rsidRPr="00D12B5E">
        <w:rPr>
          <w:lang w:val="en-GB"/>
        </w:rPr>
        <w:tab/>
        <w:t xml:space="preserve">Trên cơ sở đó, Ủy ban nhân dân Thành phố đã xây dựng </w:t>
      </w:r>
      <w:r w:rsidRPr="00D12B5E">
        <w:rPr>
          <w:bCs/>
          <w:lang w:val="en-GB"/>
        </w:rPr>
        <w:t xml:space="preserve">dự thảo Nghị quyết của Hội đồng nhân dân Thành phố quy định </w:t>
      </w:r>
      <w:r w:rsidR="001C631C" w:rsidRPr="00D12B5E">
        <w:rPr>
          <w:bCs/>
          <w:lang w:val="en-GB"/>
        </w:rPr>
        <w:t xml:space="preserve">nội dung và mức chi các giải thưởng </w:t>
      </w:r>
      <w:r w:rsidR="001C631C" w:rsidRPr="00D12B5E">
        <w:rPr>
          <w:lang w:val="en-GB"/>
        </w:rPr>
        <w:t xml:space="preserve">trong lĩnh vực văn hóa, nghệ thuật quần chúng trên địa bàn Thành phố </w:t>
      </w:r>
      <w:r w:rsidRPr="00D12B5E">
        <w:rPr>
          <w:bCs/>
          <w:lang w:val="en-GB"/>
        </w:rPr>
        <w:t>Hồ Chí Minh</w:t>
      </w:r>
      <w:r w:rsidR="001C631C" w:rsidRPr="00D12B5E">
        <w:rPr>
          <w:lang w:val="en-GB"/>
        </w:rPr>
        <w:t>;</w:t>
      </w:r>
      <w:r w:rsidRPr="00D12B5E">
        <w:rPr>
          <w:lang w:val="en-GB"/>
        </w:rPr>
        <w:t xml:space="preserve"> </w:t>
      </w:r>
      <w:r w:rsidR="004921F2" w:rsidRPr="00D12B5E">
        <w:rPr>
          <w:lang w:val="en-GB"/>
        </w:rPr>
        <w:t>có đánh giá</w:t>
      </w:r>
      <w:r w:rsidRPr="00D12B5E">
        <w:rPr>
          <w:lang w:val="en-GB"/>
        </w:rPr>
        <w:t xml:space="preserve"> thực hiện </w:t>
      </w:r>
      <w:r w:rsidR="004921F2" w:rsidRPr="00D12B5E">
        <w:rPr>
          <w:lang w:val="en-GB"/>
        </w:rPr>
        <w:t xml:space="preserve">Bản </w:t>
      </w:r>
      <w:r w:rsidRPr="00D12B5E">
        <w:rPr>
          <w:bCs/>
          <w:lang w:val="en-GB"/>
        </w:rPr>
        <w:t>so sánh, thuyết minh nội dung dự thảo theo quy định</w:t>
      </w:r>
      <w:r w:rsidRPr="00D12B5E">
        <w:rPr>
          <w:lang w:val="en-GB"/>
        </w:rPr>
        <w:t>, kết quả cụ thể như sau:</w:t>
      </w:r>
    </w:p>
    <w:tbl>
      <w:tblPr>
        <w:tblStyle w:val="TableGrid"/>
        <w:tblW w:w="14454" w:type="dxa"/>
        <w:tblLook w:val="04A0" w:firstRow="1" w:lastRow="0" w:firstColumn="1" w:lastColumn="0" w:noHBand="0" w:noVBand="1"/>
      </w:tblPr>
      <w:tblGrid>
        <w:gridCol w:w="3823"/>
        <w:gridCol w:w="4677"/>
        <w:gridCol w:w="5954"/>
      </w:tblGrid>
      <w:tr w:rsidR="00D12B5E" w:rsidRPr="00D12B5E" w14:paraId="1C46C50A" w14:textId="77777777" w:rsidTr="00134210">
        <w:tc>
          <w:tcPr>
            <w:tcW w:w="3823" w:type="dxa"/>
            <w:shd w:val="clear" w:color="auto" w:fill="FFFFFF"/>
          </w:tcPr>
          <w:p w14:paraId="230232A4" w14:textId="77777777" w:rsidR="00495AF8" w:rsidRPr="00D12B5E" w:rsidRDefault="00AD28B8" w:rsidP="007D6629">
            <w:pPr>
              <w:spacing w:before="60" w:after="60"/>
              <w:jc w:val="center"/>
              <w:rPr>
                <w:rFonts w:ascii="Times New Roman" w:hAnsi="Times New Roman" w:cs="Times New Roman"/>
                <w:b/>
                <w:bCs/>
                <w:color w:val="auto"/>
                <w:sz w:val="28"/>
                <w:szCs w:val="28"/>
                <w:lang w:val="en-US"/>
              </w:rPr>
            </w:pPr>
            <w:r w:rsidRPr="00D12B5E">
              <w:rPr>
                <w:rFonts w:ascii="Times New Roman" w:hAnsi="Times New Roman" w:cs="Times New Roman"/>
                <w:b/>
                <w:bCs/>
                <w:color w:val="auto"/>
                <w:spacing w:val="-4"/>
                <w:sz w:val="28"/>
                <w:szCs w:val="28"/>
                <w:lang w:val="en-US"/>
              </w:rPr>
              <w:lastRenderedPageBreak/>
              <w:br w:type="page"/>
            </w:r>
            <w:r w:rsidR="00D608EC" w:rsidRPr="00D12B5E">
              <w:rPr>
                <w:rFonts w:ascii="Times New Roman" w:hAnsi="Times New Roman" w:cs="Times New Roman"/>
                <w:b/>
                <w:bCs/>
                <w:color w:val="auto"/>
                <w:spacing w:val="-4"/>
                <w:sz w:val="28"/>
                <w:szCs w:val="28"/>
                <w:lang w:val="en-US"/>
              </w:rPr>
              <w:t>NGHỊ QUYẾT SỐ 30/2024/NQ-HĐND CỦA HỘI ĐỒNG NHÂN DÂN TỈNH BÌNH DƯƠNG (cũ)</w:t>
            </w:r>
          </w:p>
        </w:tc>
        <w:tc>
          <w:tcPr>
            <w:tcW w:w="4677" w:type="dxa"/>
            <w:shd w:val="clear" w:color="auto" w:fill="FFFFFF"/>
          </w:tcPr>
          <w:p w14:paraId="265D8AFB" w14:textId="77777777" w:rsidR="00495AF8" w:rsidRPr="00D12B5E" w:rsidRDefault="00D608EC" w:rsidP="007D6629">
            <w:pPr>
              <w:spacing w:before="60" w:after="60"/>
              <w:jc w:val="center"/>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lang w:val="en-US"/>
              </w:rPr>
              <w:t>NGHỊ QUYẾT CỦA HỘI ĐỒNG NHÂN DÂN THÀNH PHỐ (mới)</w:t>
            </w:r>
          </w:p>
        </w:tc>
        <w:tc>
          <w:tcPr>
            <w:tcW w:w="5954" w:type="dxa"/>
            <w:shd w:val="clear" w:color="auto" w:fill="FFFFFF"/>
          </w:tcPr>
          <w:p w14:paraId="6DA98B02" w14:textId="77777777" w:rsidR="00495AF8" w:rsidRPr="00D12B5E" w:rsidRDefault="00495AF8" w:rsidP="007D6629">
            <w:pPr>
              <w:spacing w:before="60" w:after="60"/>
              <w:jc w:val="center"/>
              <w:rPr>
                <w:rFonts w:ascii="Times New Roman" w:hAnsi="Times New Roman" w:cs="Times New Roman"/>
                <w:b/>
                <w:bCs/>
                <w:color w:val="auto"/>
                <w:sz w:val="28"/>
                <w:szCs w:val="28"/>
              </w:rPr>
            </w:pPr>
            <w:r w:rsidRPr="00D12B5E">
              <w:rPr>
                <w:rFonts w:ascii="Times New Roman" w:hAnsi="Times New Roman" w:cs="Times New Roman"/>
                <w:b/>
                <w:bCs/>
                <w:color w:val="auto"/>
                <w:sz w:val="28"/>
                <w:szCs w:val="28"/>
              </w:rPr>
              <w:t>THUYẾT MINH</w:t>
            </w:r>
          </w:p>
        </w:tc>
      </w:tr>
      <w:tr w:rsidR="00D12B5E" w:rsidRPr="00D12B5E" w14:paraId="14513431" w14:textId="77777777" w:rsidTr="00134210">
        <w:tc>
          <w:tcPr>
            <w:tcW w:w="3823" w:type="dxa"/>
            <w:shd w:val="clear" w:color="auto" w:fill="FFFFFF"/>
          </w:tcPr>
          <w:p w14:paraId="6201C71B" w14:textId="77777777" w:rsidR="002621AE" w:rsidRPr="00D12B5E" w:rsidRDefault="001749CA" w:rsidP="007D6629">
            <w:pPr>
              <w:spacing w:before="60" w:after="60"/>
              <w:jc w:val="both"/>
              <w:rPr>
                <w:rFonts w:ascii="Times New Roman" w:hAnsi="Times New Roman" w:cs="Times New Roman"/>
                <w:b/>
                <w:bCs/>
                <w:color w:val="auto"/>
                <w:sz w:val="28"/>
                <w:szCs w:val="28"/>
              </w:rPr>
            </w:pPr>
            <w:r w:rsidRPr="00D12B5E">
              <w:rPr>
                <w:rFonts w:ascii="Times New Roman" w:hAnsi="Times New Roman" w:cs="Times New Roman"/>
                <w:b/>
                <w:bCs/>
                <w:color w:val="auto"/>
                <w:sz w:val="28"/>
                <w:szCs w:val="28"/>
                <w:lang w:val="en-US"/>
              </w:rPr>
              <w:t xml:space="preserve">Nghị quyết </w:t>
            </w:r>
            <w:r w:rsidR="002621AE" w:rsidRPr="00D12B5E">
              <w:rPr>
                <w:rFonts w:ascii="Times New Roman" w:hAnsi="Times New Roman" w:cs="Times New Roman"/>
                <w:b/>
                <w:bCs/>
                <w:color w:val="auto"/>
                <w:sz w:val="28"/>
                <w:szCs w:val="28"/>
              </w:rPr>
              <w:t xml:space="preserve">số </w:t>
            </w:r>
            <w:r w:rsidRPr="00D12B5E">
              <w:rPr>
                <w:rFonts w:ascii="Times New Roman" w:hAnsi="Times New Roman" w:cs="Times New Roman"/>
                <w:b/>
                <w:bCs/>
                <w:color w:val="auto"/>
                <w:sz w:val="28"/>
                <w:szCs w:val="28"/>
                <w:lang w:val="en-US"/>
              </w:rPr>
              <w:t>30</w:t>
            </w:r>
            <w:r w:rsidR="002621AE" w:rsidRPr="00D12B5E">
              <w:rPr>
                <w:rFonts w:ascii="Times New Roman" w:hAnsi="Times New Roman" w:cs="Times New Roman"/>
                <w:b/>
                <w:bCs/>
                <w:color w:val="auto"/>
                <w:sz w:val="28"/>
                <w:szCs w:val="28"/>
              </w:rPr>
              <w:t>/202</w:t>
            </w:r>
            <w:r w:rsidRPr="00D12B5E">
              <w:rPr>
                <w:rFonts w:ascii="Times New Roman" w:hAnsi="Times New Roman" w:cs="Times New Roman"/>
                <w:b/>
                <w:bCs/>
                <w:color w:val="auto"/>
                <w:sz w:val="28"/>
                <w:szCs w:val="28"/>
                <w:lang w:val="en-US"/>
              </w:rPr>
              <w:t>4</w:t>
            </w:r>
            <w:r w:rsidR="00D233C3" w:rsidRPr="00D12B5E">
              <w:rPr>
                <w:rFonts w:ascii="Times New Roman" w:hAnsi="Times New Roman" w:cs="Times New Roman"/>
                <w:b/>
                <w:bCs/>
                <w:color w:val="auto"/>
                <w:sz w:val="28"/>
                <w:szCs w:val="28"/>
              </w:rPr>
              <w:t>/</w:t>
            </w:r>
            <w:r w:rsidR="00D233C3" w:rsidRPr="00D12B5E">
              <w:rPr>
                <w:rFonts w:ascii="Times New Roman" w:hAnsi="Times New Roman" w:cs="Times New Roman"/>
                <w:b/>
                <w:bCs/>
                <w:color w:val="auto"/>
                <w:sz w:val="28"/>
                <w:szCs w:val="28"/>
                <w:lang w:val="en-US"/>
              </w:rPr>
              <w:t>NQ-HĐND</w:t>
            </w:r>
            <w:r w:rsidR="002621AE" w:rsidRPr="00D12B5E">
              <w:rPr>
                <w:rFonts w:ascii="Times New Roman" w:hAnsi="Times New Roman" w:cs="Times New Roman"/>
                <w:bCs/>
                <w:color w:val="auto"/>
                <w:sz w:val="28"/>
                <w:szCs w:val="28"/>
              </w:rPr>
              <w:t xml:space="preserve"> ngày </w:t>
            </w:r>
            <w:r w:rsidRPr="00D12B5E">
              <w:rPr>
                <w:rFonts w:ascii="Times New Roman" w:hAnsi="Times New Roman" w:cs="Times New Roman"/>
                <w:bCs/>
                <w:color w:val="auto"/>
                <w:sz w:val="28"/>
                <w:szCs w:val="28"/>
                <w:lang w:val="en-US"/>
              </w:rPr>
              <w:t>12</w:t>
            </w:r>
            <w:r w:rsidR="002621AE" w:rsidRPr="00D12B5E">
              <w:rPr>
                <w:rFonts w:ascii="Times New Roman" w:hAnsi="Times New Roman" w:cs="Times New Roman"/>
                <w:bCs/>
                <w:color w:val="auto"/>
                <w:sz w:val="28"/>
                <w:szCs w:val="28"/>
              </w:rPr>
              <w:t xml:space="preserve"> tháng 12 năm 202</w:t>
            </w:r>
            <w:r w:rsidRPr="00D12B5E">
              <w:rPr>
                <w:rFonts w:ascii="Times New Roman" w:hAnsi="Times New Roman" w:cs="Times New Roman"/>
                <w:bCs/>
                <w:color w:val="auto"/>
                <w:sz w:val="28"/>
                <w:szCs w:val="28"/>
                <w:lang w:val="en-US"/>
              </w:rPr>
              <w:t>4</w:t>
            </w:r>
            <w:r w:rsidR="002621AE" w:rsidRPr="00D12B5E">
              <w:rPr>
                <w:rFonts w:ascii="Times New Roman" w:hAnsi="Times New Roman" w:cs="Times New Roman"/>
                <w:bCs/>
                <w:color w:val="auto"/>
                <w:sz w:val="28"/>
                <w:szCs w:val="28"/>
              </w:rPr>
              <w:t xml:space="preserve"> của </w:t>
            </w:r>
            <w:r w:rsidRPr="00D12B5E">
              <w:rPr>
                <w:rFonts w:ascii="Times New Roman" w:hAnsi="Times New Roman" w:cs="Times New Roman"/>
                <w:bCs/>
                <w:color w:val="auto"/>
                <w:sz w:val="28"/>
                <w:szCs w:val="28"/>
                <w:lang w:val="en-US"/>
              </w:rPr>
              <w:t>Hội đồng</w:t>
            </w:r>
            <w:r w:rsidR="002621AE" w:rsidRPr="00D12B5E">
              <w:rPr>
                <w:rFonts w:ascii="Times New Roman" w:hAnsi="Times New Roman" w:cs="Times New Roman"/>
                <w:bCs/>
                <w:color w:val="auto"/>
                <w:sz w:val="28"/>
                <w:szCs w:val="28"/>
              </w:rPr>
              <w:t xml:space="preserve"> nhân dân tỉnh Bình Dương quy định</w:t>
            </w:r>
            <w:r w:rsidRPr="00D12B5E">
              <w:rPr>
                <w:rFonts w:ascii="Times New Roman" w:hAnsi="Times New Roman" w:cs="Times New Roman"/>
                <w:bCs/>
                <w:color w:val="auto"/>
                <w:sz w:val="28"/>
                <w:szCs w:val="28"/>
                <w:lang w:val="en-US"/>
              </w:rPr>
              <w:t xml:space="preserve"> chế </w:t>
            </w:r>
            <w:r w:rsidRPr="00D12B5E">
              <w:rPr>
                <w:rFonts w:ascii="Times New Roman" w:hAnsi="Times New Roman" w:cs="Times New Roman"/>
                <w:bCs/>
                <w:color w:val="auto"/>
                <w:sz w:val="28"/>
                <w:szCs w:val="28"/>
              </w:rPr>
              <w:t>chế độ hỗ trợ, chi tiêu tài chính và định mức chi</w:t>
            </w:r>
            <w:r w:rsidRPr="00D12B5E">
              <w:rPr>
                <w:rFonts w:ascii="Times New Roman" w:hAnsi="Times New Roman" w:cs="Times New Roman"/>
                <w:bCs/>
                <w:color w:val="auto"/>
                <w:sz w:val="28"/>
                <w:szCs w:val="28"/>
                <w:lang w:val="en-US"/>
              </w:rPr>
              <w:t xml:space="preserve"> </w:t>
            </w:r>
            <w:r w:rsidRPr="00D12B5E">
              <w:rPr>
                <w:rFonts w:ascii="Times New Roman" w:hAnsi="Times New Roman" w:cs="Times New Roman"/>
                <w:bCs/>
                <w:color w:val="auto"/>
                <w:sz w:val="28"/>
                <w:szCs w:val="28"/>
              </w:rPr>
              <w:t>đối với lĩnh vực văn hóa</w:t>
            </w:r>
            <w:r w:rsidR="002621AE" w:rsidRPr="00D12B5E">
              <w:rPr>
                <w:rFonts w:ascii="Times New Roman" w:hAnsi="Times New Roman" w:cs="Times New Roman"/>
                <w:bCs/>
                <w:color w:val="auto"/>
                <w:sz w:val="28"/>
                <w:szCs w:val="28"/>
              </w:rPr>
              <w:t xml:space="preserve"> trên địa bàn tỉnh Bình Dương.</w:t>
            </w:r>
          </w:p>
        </w:tc>
        <w:tc>
          <w:tcPr>
            <w:tcW w:w="4677" w:type="dxa"/>
            <w:shd w:val="clear" w:color="auto" w:fill="FFFFFF"/>
          </w:tcPr>
          <w:p w14:paraId="794032AB" w14:textId="77777777" w:rsidR="002621AE" w:rsidRPr="00D12B5E" w:rsidRDefault="00AC636F" w:rsidP="007D6629">
            <w:pPr>
              <w:spacing w:before="60" w:after="60"/>
              <w:jc w:val="both"/>
              <w:rPr>
                <w:rFonts w:ascii="Times New Roman" w:hAnsi="Times New Roman" w:cs="Times New Roman"/>
                <w:color w:val="auto"/>
                <w:sz w:val="28"/>
                <w:szCs w:val="28"/>
              </w:rPr>
            </w:pPr>
            <w:r w:rsidRPr="00D12B5E">
              <w:rPr>
                <w:rFonts w:ascii="Times New Roman" w:hAnsi="Times New Roman" w:cs="Times New Roman"/>
                <w:b/>
                <w:bCs/>
                <w:color w:val="auto"/>
                <w:sz w:val="28"/>
                <w:szCs w:val="28"/>
                <w:lang w:val="en-US"/>
              </w:rPr>
              <w:t>Tên d</w:t>
            </w:r>
            <w:r w:rsidR="002621AE" w:rsidRPr="00D12B5E">
              <w:rPr>
                <w:rFonts w:ascii="Times New Roman" w:hAnsi="Times New Roman" w:cs="Times New Roman"/>
                <w:b/>
                <w:bCs/>
                <w:color w:val="auto"/>
                <w:sz w:val="28"/>
                <w:szCs w:val="28"/>
                <w:lang w:val="en-US"/>
              </w:rPr>
              <w:t>ự thảo Nghị quyết của Hội đồng nhân dân Thành phố</w:t>
            </w:r>
            <w:r w:rsidRPr="00D12B5E">
              <w:rPr>
                <w:rFonts w:ascii="Times New Roman" w:hAnsi="Times New Roman" w:cs="Times New Roman"/>
                <w:color w:val="auto"/>
                <w:sz w:val="28"/>
                <w:szCs w:val="28"/>
                <w:lang w:val="en-US"/>
              </w:rPr>
              <w:t>:</w:t>
            </w:r>
            <w:r w:rsidR="002621AE" w:rsidRPr="00D12B5E">
              <w:rPr>
                <w:rFonts w:ascii="Times New Roman" w:hAnsi="Times New Roman" w:cs="Times New Roman"/>
                <w:color w:val="auto"/>
                <w:sz w:val="28"/>
                <w:szCs w:val="28"/>
              </w:rPr>
              <w:t xml:space="preserve"> </w:t>
            </w:r>
            <w:r w:rsidRPr="00D12B5E">
              <w:rPr>
                <w:rFonts w:ascii="Times New Roman" w:hAnsi="Times New Roman" w:cs="Times New Roman"/>
                <w:color w:val="auto"/>
                <w:sz w:val="28"/>
                <w:szCs w:val="28"/>
                <w:lang w:val="en-US"/>
              </w:rPr>
              <w:t xml:space="preserve">Nghị quyết </w:t>
            </w:r>
            <w:r w:rsidR="001C631C" w:rsidRPr="00D12B5E">
              <w:rPr>
                <w:rFonts w:ascii="Times New Roman" w:hAnsi="Times New Roman" w:cs="Times New Roman"/>
                <w:color w:val="auto"/>
                <w:sz w:val="28"/>
                <w:szCs w:val="28"/>
              </w:rPr>
              <w:t>quy định nội dung và mức chi các giải thưởng trong lĩnh vực văn hóa, nghệ thuật quần chúng trên địa bàn Thành phố Hồ Chí Minh</w:t>
            </w:r>
          </w:p>
          <w:p w14:paraId="2EE4BE7C" w14:textId="77777777" w:rsidR="001C631C" w:rsidRPr="00D12B5E" w:rsidRDefault="001C631C" w:rsidP="007D6629">
            <w:pPr>
              <w:spacing w:before="60" w:after="60"/>
              <w:jc w:val="both"/>
              <w:rPr>
                <w:rFonts w:ascii="Times New Roman" w:hAnsi="Times New Roman" w:cs="Times New Roman"/>
                <w:color w:val="auto"/>
                <w:sz w:val="28"/>
                <w:szCs w:val="28"/>
              </w:rPr>
            </w:pPr>
          </w:p>
        </w:tc>
        <w:tc>
          <w:tcPr>
            <w:tcW w:w="5954" w:type="dxa"/>
            <w:shd w:val="clear" w:color="auto" w:fill="FFFFFF"/>
          </w:tcPr>
          <w:p w14:paraId="186C7856" w14:textId="77777777" w:rsidR="001C631C" w:rsidRPr="00D12B5E" w:rsidRDefault="001C631C" w:rsidP="003C73E2">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 xml:space="preserve">Trên tinh thần kế thừa lựa chọn các chế độ, chính sách nổi trội phù hợp đã được ban hành tại Nghị quyết số 30/2024/NQ-HĐND ngày 12 tháng 12 năm 2024 của Hội đồng nhân dân tỉnh Bình Dương (trước đây); </w:t>
            </w:r>
            <w:r w:rsidR="003C73E2" w:rsidRPr="00D12B5E">
              <w:rPr>
                <w:rFonts w:ascii="Times New Roman" w:hAnsi="Times New Roman" w:cs="Times New Roman"/>
                <w:color w:val="auto"/>
                <w:sz w:val="28"/>
                <w:szCs w:val="28"/>
                <w:lang w:val="en-US"/>
              </w:rPr>
              <w:t>rà soát lượt</w:t>
            </w:r>
            <w:r w:rsidRPr="00D12B5E">
              <w:rPr>
                <w:rFonts w:ascii="Times New Roman" w:hAnsi="Times New Roman" w:cs="Times New Roman"/>
                <w:color w:val="auto"/>
                <w:sz w:val="28"/>
                <w:szCs w:val="28"/>
                <w:lang w:val="en-US"/>
              </w:rPr>
              <w:t xml:space="preserve"> bỏ những chính sách không còn phù hợp với trình độ phát triển kinh tế - xã hội của Thành phố Hồ Chí Minh mới sau sắp xếp đơn vị hành chính phù hợp với địa giới hành chính mới; dự thảo Nghị quyết mới </w:t>
            </w:r>
            <w:r w:rsidR="003C73E2" w:rsidRPr="00D12B5E">
              <w:rPr>
                <w:rFonts w:ascii="Times New Roman" w:hAnsi="Times New Roman" w:cs="Times New Roman"/>
                <w:color w:val="auto"/>
                <w:sz w:val="28"/>
                <w:szCs w:val="28"/>
                <w:lang w:val="en-US"/>
              </w:rPr>
              <w:t xml:space="preserve">có </w:t>
            </w:r>
            <w:r w:rsidRPr="00D12B5E">
              <w:rPr>
                <w:rFonts w:ascii="Times New Roman" w:hAnsi="Times New Roman" w:cs="Times New Roman"/>
                <w:color w:val="auto"/>
                <w:sz w:val="28"/>
                <w:szCs w:val="28"/>
                <w:lang w:val="en-US"/>
              </w:rPr>
              <w:t xml:space="preserve">kế thừa chính sách nổi trội </w:t>
            </w:r>
            <w:r w:rsidRPr="00D12B5E">
              <w:rPr>
                <w:rFonts w:ascii="Times New Roman" w:hAnsi="Times New Roman" w:cs="Times New Roman"/>
                <w:b/>
                <w:i/>
                <w:color w:val="auto"/>
                <w:sz w:val="28"/>
                <w:szCs w:val="28"/>
                <w:lang w:val="en-US"/>
              </w:rPr>
              <w:t>“Q</w:t>
            </w:r>
            <w:r w:rsidRPr="00D12B5E">
              <w:rPr>
                <w:rFonts w:ascii="Times New Roman" w:hAnsi="Times New Roman" w:cs="Times New Roman"/>
                <w:b/>
                <w:i/>
                <w:color w:val="auto"/>
                <w:sz w:val="28"/>
                <w:szCs w:val="28"/>
              </w:rPr>
              <w:t>uy định nội dung và mức chi các giải thưởng trong lĩnh vực văn hóa, nghệ thuật quần chúng trên địa bàn Thành phố Hồ Chí Minh</w:t>
            </w:r>
            <w:r w:rsidRPr="00D12B5E">
              <w:rPr>
                <w:rFonts w:ascii="Times New Roman" w:hAnsi="Times New Roman" w:cs="Times New Roman"/>
                <w:b/>
                <w:i/>
                <w:color w:val="auto"/>
                <w:sz w:val="28"/>
                <w:szCs w:val="28"/>
                <w:lang w:val="en-US"/>
              </w:rPr>
              <w:t>”</w:t>
            </w:r>
            <w:r w:rsidRPr="00D12B5E">
              <w:rPr>
                <w:rFonts w:ascii="Times New Roman" w:hAnsi="Times New Roman" w:cs="Times New Roman"/>
                <w:color w:val="auto"/>
                <w:sz w:val="28"/>
                <w:szCs w:val="28"/>
                <w:lang w:val="en-US"/>
              </w:rPr>
              <w:t xml:space="preserve"> phù hợp phạm vi, đối tượng </w:t>
            </w:r>
            <w:r w:rsidR="00DA0AA4" w:rsidRPr="00D12B5E">
              <w:rPr>
                <w:rFonts w:ascii="Times New Roman" w:hAnsi="Times New Roman" w:cs="Times New Roman"/>
                <w:color w:val="auto"/>
                <w:sz w:val="28"/>
                <w:szCs w:val="28"/>
                <w:lang w:val="en-US"/>
              </w:rPr>
              <w:t xml:space="preserve">áp dụng </w:t>
            </w:r>
            <w:r w:rsidRPr="00D12B5E">
              <w:rPr>
                <w:rFonts w:ascii="Times New Roman" w:hAnsi="Times New Roman" w:cs="Times New Roman"/>
                <w:color w:val="auto"/>
                <w:sz w:val="28"/>
                <w:szCs w:val="28"/>
                <w:lang w:val="en-US"/>
              </w:rPr>
              <w:t>mới sau khi sáp nhập.</w:t>
            </w:r>
          </w:p>
        </w:tc>
      </w:tr>
      <w:tr w:rsidR="00D12B5E" w:rsidRPr="00D12B5E" w14:paraId="3744E4DB" w14:textId="77777777" w:rsidTr="00134210">
        <w:tc>
          <w:tcPr>
            <w:tcW w:w="3823" w:type="dxa"/>
            <w:shd w:val="clear" w:color="auto" w:fill="FFFFFF"/>
          </w:tcPr>
          <w:p w14:paraId="0A4BF114" w14:textId="77777777" w:rsidR="00DA4BCF" w:rsidRPr="00D12B5E" w:rsidRDefault="00423563" w:rsidP="002C0CB3">
            <w:pPr>
              <w:spacing w:before="60" w:after="60"/>
              <w:jc w:val="both"/>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lang w:val="en-US"/>
              </w:rPr>
              <w:t xml:space="preserve">Tại </w:t>
            </w:r>
            <w:r w:rsidR="002C0CB3" w:rsidRPr="00D12B5E">
              <w:rPr>
                <w:rFonts w:ascii="Times New Roman" w:hAnsi="Times New Roman" w:cs="Times New Roman"/>
                <w:b/>
                <w:bCs/>
                <w:color w:val="auto"/>
                <w:sz w:val="28"/>
                <w:szCs w:val="28"/>
                <w:lang w:val="en-US"/>
              </w:rPr>
              <w:t xml:space="preserve">Nghị quyết </w:t>
            </w:r>
            <w:r w:rsidR="002C0CB3" w:rsidRPr="00D12B5E">
              <w:rPr>
                <w:rFonts w:ascii="Times New Roman" w:hAnsi="Times New Roman" w:cs="Times New Roman"/>
                <w:b/>
                <w:bCs/>
                <w:color w:val="auto"/>
                <w:sz w:val="28"/>
                <w:szCs w:val="28"/>
              </w:rPr>
              <w:t xml:space="preserve">số </w:t>
            </w:r>
            <w:r w:rsidR="002C0CB3" w:rsidRPr="00D12B5E">
              <w:rPr>
                <w:rFonts w:ascii="Times New Roman" w:hAnsi="Times New Roman" w:cs="Times New Roman"/>
                <w:b/>
                <w:bCs/>
                <w:color w:val="auto"/>
                <w:sz w:val="28"/>
                <w:szCs w:val="28"/>
                <w:lang w:val="en-US"/>
              </w:rPr>
              <w:t>30</w:t>
            </w:r>
            <w:r w:rsidR="002C0CB3" w:rsidRPr="00D12B5E">
              <w:rPr>
                <w:rFonts w:ascii="Times New Roman" w:hAnsi="Times New Roman" w:cs="Times New Roman"/>
                <w:b/>
                <w:bCs/>
                <w:color w:val="auto"/>
                <w:sz w:val="28"/>
                <w:szCs w:val="28"/>
              </w:rPr>
              <w:t>/202</w:t>
            </w:r>
            <w:r w:rsidR="002C0CB3" w:rsidRPr="00D12B5E">
              <w:rPr>
                <w:rFonts w:ascii="Times New Roman" w:hAnsi="Times New Roman" w:cs="Times New Roman"/>
                <w:b/>
                <w:bCs/>
                <w:color w:val="auto"/>
                <w:sz w:val="28"/>
                <w:szCs w:val="28"/>
                <w:lang w:val="en-US"/>
              </w:rPr>
              <w:t>4</w:t>
            </w:r>
            <w:r w:rsidR="003C73E2" w:rsidRPr="00D12B5E">
              <w:rPr>
                <w:rFonts w:ascii="Times New Roman" w:hAnsi="Times New Roman" w:cs="Times New Roman"/>
                <w:b/>
                <w:bCs/>
                <w:color w:val="auto"/>
                <w:sz w:val="28"/>
                <w:szCs w:val="28"/>
              </w:rPr>
              <w:t>/</w:t>
            </w:r>
            <w:r w:rsidR="00386AD5" w:rsidRPr="00D12B5E">
              <w:rPr>
                <w:rFonts w:ascii="Times New Roman" w:hAnsi="Times New Roman" w:cs="Times New Roman"/>
                <w:b/>
                <w:bCs/>
                <w:color w:val="auto"/>
                <w:sz w:val="28"/>
                <w:szCs w:val="28"/>
                <w:lang w:val="en-US"/>
              </w:rPr>
              <w:t>NQ</w:t>
            </w:r>
            <w:r w:rsidR="00386AD5" w:rsidRPr="00D12B5E">
              <w:rPr>
                <w:rFonts w:ascii="Times New Roman" w:hAnsi="Times New Roman" w:cs="Times New Roman"/>
                <w:b/>
                <w:bCs/>
                <w:color w:val="auto"/>
                <w:sz w:val="28"/>
                <w:szCs w:val="28"/>
              </w:rPr>
              <w:t>-</w:t>
            </w:r>
            <w:r w:rsidR="00386AD5" w:rsidRPr="00D12B5E">
              <w:rPr>
                <w:rFonts w:ascii="Times New Roman" w:hAnsi="Times New Roman" w:cs="Times New Roman"/>
                <w:b/>
                <w:bCs/>
                <w:color w:val="auto"/>
                <w:sz w:val="28"/>
                <w:szCs w:val="28"/>
                <w:lang w:val="en-US"/>
              </w:rPr>
              <w:t>HĐND</w:t>
            </w:r>
            <w:r w:rsidR="002C0CB3" w:rsidRPr="00D12B5E">
              <w:rPr>
                <w:rFonts w:ascii="Times New Roman" w:hAnsi="Times New Roman" w:cs="Times New Roman"/>
                <w:b/>
                <w:bCs/>
                <w:color w:val="auto"/>
                <w:sz w:val="28"/>
                <w:szCs w:val="28"/>
                <w:lang w:val="en-US"/>
              </w:rPr>
              <w:t xml:space="preserve"> </w:t>
            </w:r>
            <w:r w:rsidR="00DA4BCF" w:rsidRPr="00D12B5E">
              <w:rPr>
                <w:rFonts w:ascii="Times New Roman" w:hAnsi="Times New Roman" w:cs="Times New Roman"/>
                <w:b/>
                <w:bCs/>
                <w:color w:val="auto"/>
                <w:sz w:val="28"/>
                <w:szCs w:val="28"/>
                <w:lang w:val="en-US"/>
              </w:rPr>
              <w:t>Điều 1. Ban hành kèm theo Nghị quyết này Quy định về chế độ hỗ trợ, chi tiêu tài chính và định mức chi đối với lĩnh vực văn hóa trên địa bàn tỉnh Bình Dương.</w:t>
            </w:r>
          </w:p>
        </w:tc>
        <w:tc>
          <w:tcPr>
            <w:tcW w:w="4677" w:type="dxa"/>
            <w:shd w:val="clear" w:color="auto" w:fill="FFFFFF"/>
          </w:tcPr>
          <w:p w14:paraId="1E6C455D" w14:textId="77777777" w:rsidR="00DA4BCF" w:rsidRPr="00D12B5E" w:rsidRDefault="00DA4BCF" w:rsidP="00DA4BCF">
            <w:pPr>
              <w:spacing w:before="60" w:after="60"/>
              <w:jc w:val="both"/>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lang w:val="en-US"/>
              </w:rPr>
              <w:t>Không có</w:t>
            </w:r>
          </w:p>
        </w:tc>
        <w:tc>
          <w:tcPr>
            <w:tcW w:w="5954" w:type="dxa"/>
            <w:shd w:val="clear" w:color="auto" w:fill="FFFFFF"/>
          </w:tcPr>
          <w:p w14:paraId="3AADC3FF" w14:textId="77777777" w:rsidR="00DA4BCF" w:rsidRPr="00D12B5E" w:rsidRDefault="00DA4BCF" w:rsidP="00FF2866">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Nội dung này không còn phù hợp với quy định hiện hành của Nghị qu</w:t>
            </w:r>
            <w:r w:rsidR="00386AD5" w:rsidRPr="00D12B5E">
              <w:rPr>
                <w:rFonts w:ascii="Times New Roman" w:hAnsi="Times New Roman" w:cs="Times New Roman"/>
                <w:color w:val="auto"/>
                <w:sz w:val="28"/>
                <w:szCs w:val="28"/>
                <w:lang w:val="en-US"/>
              </w:rPr>
              <w:t xml:space="preserve">yết Hội đồng nhân dân Thành phố </w:t>
            </w:r>
          </w:p>
        </w:tc>
      </w:tr>
      <w:tr w:rsidR="00D12B5E" w:rsidRPr="00D12B5E" w14:paraId="64E4D69B" w14:textId="77777777" w:rsidTr="00134210">
        <w:tc>
          <w:tcPr>
            <w:tcW w:w="3823" w:type="dxa"/>
            <w:shd w:val="clear" w:color="auto" w:fill="FFFFFF"/>
          </w:tcPr>
          <w:p w14:paraId="690C6984" w14:textId="77777777" w:rsidR="00DA4BCF" w:rsidRPr="00D12B5E" w:rsidRDefault="00DA4BCF" w:rsidP="00DA4BCF">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
                <w:bCs/>
                <w:color w:val="auto"/>
                <w:sz w:val="28"/>
                <w:szCs w:val="28"/>
                <w:lang w:val="en-US"/>
              </w:rPr>
              <w:t>Tại</w:t>
            </w:r>
            <w:r w:rsidR="002C0CB3" w:rsidRPr="00D12B5E">
              <w:rPr>
                <w:rFonts w:ascii="Times New Roman" w:hAnsi="Times New Roman" w:cs="Times New Roman"/>
                <w:b/>
                <w:bCs/>
                <w:color w:val="auto"/>
                <w:sz w:val="28"/>
                <w:szCs w:val="28"/>
                <w:lang w:val="en-US"/>
              </w:rPr>
              <w:t xml:space="preserve"> Nghị quyết </w:t>
            </w:r>
            <w:r w:rsidR="002C0CB3" w:rsidRPr="00D12B5E">
              <w:rPr>
                <w:rFonts w:ascii="Times New Roman" w:hAnsi="Times New Roman" w:cs="Times New Roman"/>
                <w:b/>
                <w:bCs/>
                <w:color w:val="auto"/>
                <w:sz w:val="28"/>
                <w:szCs w:val="28"/>
              </w:rPr>
              <w:t xml:space="preserve">số </w:t>
            </w:r>
            <w:r w:rsidR="002C0CB3" w:rsidRPr="00D12B5E">
              <w:rPr>
                <w:rFonts w:ascii="Times New Roman" w:hAnsi="Times New Roman" w:cs="Times New Roman"/>
                <w:b/>
                <w:bCs/>
                <w:color w:val="auto"/>
                <w:sz w:val="28"/>
                <w:szCs w:val="28"/>
                <w:lang w:val="en-US"/>
              </w:rPr>
              <w:t>30</w:t>
            </w:r>
            <w:r w:rsidR="002C0CB3" w:rsidRPr="00D12B5E">
              <w:rPr>
                <w:rFonts w:ascii="Times New Roman" w:hAnsi="Times New Roman" w:cs="Times New Roman"/>
                <w:b/>
                <w:bCs/>
                <w:color w:val="auto"/>
                <w:sz w:val="28"/>
                <w:szCs w:val="28"/>
              </w:rPr>
              <w:t>/202</w:t>
            </w:r>
            <w:r w:rsidR="002C0CB3" w:rsidRPr="00D12B5E">
              <w:rPr>
                <w:rFonts w:ascii="Times New Roman" w:hAnsi="Times New Roman" w:cs="Times New Roman"/>
                <w:b/>
                <w:bCs/>
                <w:color w:val="auto"/>
                <w:sz w:val="28"/>
                <w:szCs w:val="28"/>
                <w:lang w:val="en-US"/>
              </w:rPr>
              <w:t>4</w:t>
            </w:r>
            <w:r w:rsidR="002C0CB3" w:rsidRPr="00D12B5E">
              <w:rPr>
                <w:rFonts w:ascii="Times New Roman" w:hAnsi="Times New Roman" w:cs="Times New Roman"/>
                <w:b/>
                <w:bCs/>
                <w:color w:val="auto"/>
                <w:sz w:val="28"/>
                <w:szCs w:val="28"/>
              </w:rPr>
              <w:t>/</w:t>
            </w:r>
            <w:r w:rsidR="00386AD5" w:rsidRPr="00D12B5E">
              <w:rPr>
                <w:rFonts w:ascii="Times New Roman" w:hAnsi="Times New Roman" w:cs="Times New Roman"/>
                <w:b/>
                <w:bCs/>
                <w:color w:val="auto"/>
                <w:sz w:val="28"/>
                <w:szCs w:val="28"/>
                <w:lang w:val="en-US"/>
              </w:rPr>
              <w:t>NQ</w:t>
            </w:r>
            <w:r w:rsidR="00386AD5" w:rsidRPr="00D12B5E">
              <w:rPr>
                <w:rFonts w:ascii="Times New Roman" w:hAnsi="Times New Roman" w:cs="Times New Roman"/>
                <w:b/>
                <w:bCs/>
                <w:color w:val="auto"/>
                <w:sz w:val="28"/>
                <w:szCs w:val="28"/>
              </w:rPr>
              <w:t>-</w:t>
            </w:r>
            <w:r w:rsidR="00386AD5" w:rsidRPr="00D12B5E">
              <w:rPr>
                <w:rFonts w:ascii="Times New Roman" w:hAnsi="Times New Roman" w:cs="Times New Roman"/>
                <w:b/>
                <w:bCs/>
                <w:color w:val="auto"/>
                <w:sz w:val="28"/>
                <w:szCs w:val="28"/>
                <w:lang w:val="en-US"/>
              </w:rPr>
              <w:t>HĐND</w:t>
            </w:r>
            <w:r w:rsidR="002C0CB3" w:rsidRPr="00D12B5E">
              <w:rPr>
                <w:rFonts w:ascii="Times New Roman" w:hAnsi="Times New Roman" w:cs="Times New Roman"/>
                <w:bCs/>
                <w:color w:val="auto"/>
                <w:sz w:val="28"/>
                <w:szCs w:val="28"/>
                <w:lang w:val="en-US"/>
              </w:rPr>
              <w:t>:</w:t>
            </w:r>
            <w:r w:rsidR="002C0CB3" w:rsidRPr="00D12B5E">
              <w:rPr>
                <w:rFonts w:ascii="Times New Roman" w:hAnsi="Times New Roman" w:cs="Times New Roman"/>
                <w:b/>
                <w:bCs/>
                <w:color w:val="auto"/>
                <w:sz w:val="28"/>
                <w:szCs w:val="28"/>
                <w:lang w:val="en-US"/>
              </w:rPr>
              <w:t xml:space="preserve"> </w:t>
            </w:r>
            <w:r w:rsidRPr="00D12B5E">
              <w:rPr>
                <w:rFonts w:ascii="Times New Roman" w:hAnsi="Times New Roman" w:cs="Times New Roman"/>
                <w:b/>
                <w:bCs/>
                <w:color w:val="auto"/>
                <w:sz w:val="28"/>
                <w:szCs w:val="28"/>
                <w:lang w:val="en-US"/>
              </w:rPr>
              <w:t xml:space="preserve"> Điều 2. </w:t>
            </w:r>
            <w:r w:rsidRPr="00D12B5E">
              <w:rPr>
                <w:rFonts w:ascii="Times New Roman" w:hAnsi="Times New Roman" w:cs="Times New Roman"/>
                <w:bCs/>
                <w:color w:val="auto"/>
                <w:sz w:val="28"/>
                <w:szCs w:val="28"/>
                <w:lang w:val="en-US"/>
              </w:rPr>
              <w:lastRenderedPageBreak/>
              <w:t>Giao Ủy ban nhân dân tỉnh tổ chức triển khai thực hiện Nghị quyết này.</w:t>
            </w:r>
          </w:p>
          <w:p w14:paraId="1C38E37E" w14:textId="77777777" w:rsidR="00DA4BCF" w:rsidRPr="00D12B5E" w:rsidRDefault="00DA4BCF" w:rsidP="00DA4BCF">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t>Trong quá trình tổ chức triển khai thực hiện, trường hợp các văn bản căn cứ của Nghị quyết này được sửa đổi, bổ sung hoặc thay thế thì thực hiện theo các văn bản sửa đổi, bổ sung hoặc thay thế.</w:t>
            </w:r>
          </w:p>
          <w:p w14:paraId="4D7C19E3" w14:textId="77777777" w:rsidR="00DA4BCF" w:rsidRPr="00D12B5E" w:rsidRDefault="00DA4BCF" w:rsidP="002C0CB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
                <w:bCs/>
                <w:color w:val="auto"/>
                <w:sz w:val="28"/>
                <w:szCs w:val="28"/>
                <w:lang w:val="en-US"/>
              </w:rPr>
              <w:t xml:space="preserve">Tại </w:t>
            </w:r>
            <w:r w:rsidR="002C0CB3" w:rsidRPr="00D12B5E">
              <w:rPr>
                <w:rFonts w:ascii="Times New Roman" w:hAnsi="Times New Roman" w:cs="Times New Roman"/>
                <w:b/>
                <w:bCs/>
                <w:color w:val="auto"/>
                <w:sz w:val="28"/>
                <w:szCs w:val="28"/>
                <w:lang w:val="en-US"/>
              </w:rPr>
              <w:t xml:space="preserve">Nghị quyết </w:t>
            </w:r>
            <w:r w:rsidR="002C0CB3" w:rsidRPr="00D12B5E">
              <w:rPr>
                <w:rFonts w:ascii="Times New Roman" w:hAnsi="Times New Roman" w:cs="Times New Roman"/>
                <w:b/>
                <w:bCs/>
                <w:color w:val="auto"/>
                <w:sz w:val="28"/>
                <w:szCs w:val="28"/>
              </w:rPr>
              <w:t xml:space="preserve">số </w:t>
            </w:r>
            <w:r w:rsidR="002C0CB3" w:rsidRPr="00D12B5E">
              <w:rPr>
                <w:rFonts w:ascii="Times New Roman" w:hAnsi="Times New Roman" w:cs="Times New Roman"/>
                <w:b/>
                <w:bCs/>
                <w:color w:val="auto"/>
                <w:sz w:val="28"/>
                <w:szCs w:val="28"/>
                <w:lang w:val="en-US"/>
              </w:rPr>
              <w:t>30</w:t>
            </w:r>
            <w:r w:rsidR="002C0CB3" w:rsidRPr="00D12B5E">
              <w:rPr>
                <w:rFonts w:ascii="Times New Roman" w:hAnsi="Times New Roman" w:cs="Times New Roman"/>
                <w:b/>
                <w:bCs/>
                <w:color w:val="auto"/>
                <w:sz w:val="28"/>
                <w:szCs w:val="28"/>
              </w:rPr>
              <w:t>/202</w:t>
            </w:r>
            <w:r w:rsidR="002C0CB3" w:rsidRPr="00D12B5E">
              <w:rPr>
                <w:rFonts w:ascii="Times New Roman" w:hAnsi="Times New Roman" w:cs="Times New Roman"/>
                <w:b/>
                <w:bCs/>
                <w:color w:val="auto"/>
                <w:sz w:val="28"/>
                <w:szCs w:val="28"/>
                <w:lang w:val="en-US"/>
              </w:rPr>
              <w:t>4</w:t>
            </w:r>
            <w:r w:rsidR="00D233C3" w:rsidRPr="00D12B5E">
              <w:rPr>
                <w:rFonts w:ascii="Times New Roman" w:hAnsi="Times New Roman" w:cs="Times New Roman"/>
                <w:b/>
                <w:bCs/>
                <w:color w:val="auto"/>
                <w:sz w:val="28"/>
                <w:szCs w:val="28"/>
              </w:rPr>
              <w:t>/NQ-HĐND</w:t>
            </w:r>
            <w:r w:rsidR="002C0CB3" w:rsidRPr="00D12B5E">
              <w:rPr>
                <w:rFonts w:ascii="Times New Roman" w:hAnsi="Times New Roman" w:cs="Times New Roman"/>
                <w:b/>
                <w:bCs/>
                <w:color w:val="auto"/>
                <w:sz w:val="28"/>
                <w:szCs w:val="28"/>
                <w:lang w:val="en-US"/>
              </w:rPr>
              <w:t xml:space="preserve"> </w:t>
            </w:r>
            <w:r w:rsidRPr="00D12B5E">
              <w:rPr>
                <w:rFonts w:ascii="Times New Roman" w:hAnsi="Times New Roman" w:cs="Times New Roman"/>
                <w:b/>
                <w:bCs/>
                <w:color w:val="auto"/>
                <w:sz w:val="28"/>
                <w:szCs w:val="28"/>
                <w:lang w:val="en-US"/>
              </w:rPr>
              <w:t>Điều 3.</w:t>
            </w:r>
            <w:r w:rsidRPr="00D12B5E">
              <w:rPr>
                <w:rFonts w:ascii="Times New Roman" w:hAnsi="Times New Roman" w:cs="Times New Roman"/>
                <w:bCs/>
                <w:color w:val="auto"/>
                <w:sz w:val="28"/>
                <w:szCs w:val="28"/>
                <w:lang w:val="en-US"/>
              </w:rPr>
              <w:t xml:space="preserve"> Thường trực Hội đồng nhân dân, các Ban của Hội đồng nhân dân, các Tổ đại biểu và đại biểu Hội đồng nhân dân tỉnh giám sát việc thực hiện Nghị quyết này.</w:t>
            </w:r>
          </w:p>
        </w:tc>
        <w:tc>
          <w:tcPr>
            <w:tcW w:w="4677" w:type="dxa"/>
            <w:shd w:val="clear" w:color="auto" w:fill="FFFFFF"/>
          </w:tcPr>
          <w:p w14:paraId="2CF9ED63" w14:textId="77777777" w:rsidR="00DA4BCF" w:rsidRPr="00D12B5E" w:rsidRDefault="00DA4BCF" w:rsidP="00DA4BCF">
            <w:pPr>
              <w:widowControl/>
              <w:spacing w:before="120" w:after="120" w:line="360" w:lineRule="exact"/>
              <w:ind w:right="204"/>
              <w:jc w:val="both"/>
              <w:rPr>
                <w:rFonts w:ascii="Times New Roman" w:hAnsi="Times New Roman" w:cs="Times New Roman"/>
                <w:b/>
                <w:color w:val="auto"/>
                <w:sz w:val="28"/>
                <w:szCs w:val="28"/>
                <w:lang w:val="en-US" w:eastAsia="en-US"/>
              </w:rPr>
            </w:pPr>
            <w:r w:rsidRPr="00D12B5E">
              <w:rPr>
                <w:rFonts w:ascii="Times New Roman" w:hAnsi="Times New Roman" w:cs="Times New Roman"/>
                <w:b/>
                <w:color w:val="auto"/>
                <w:sz w:val="28"/>
                <w:szCs w:val="28"/>
                <w:lang w:val="en-US" w:eastAsia="en-US"/>
              </w:rPr>
              <w:lastRenderedPageBreak/>
              <w:t>Điều 4. Tổ chức thực hiện</w:t>
            </w:r>
          </w:p>
          <w:p w14:paraId="0B14B33A" w14:textId="77777777" w:rsidR="00FB486C" w:rsidRPr="00D12B5E" w:rsidRDefault="00FB486C" w:rsidP="00FB486C">
            <w:pPr>
              <w:widowControl/>
              <w:shd w:val="clear" w:color="auto" w:fill="FFFFFF"/>
              <w:spacing w:before="120"/>
              <w:jc w:val="both"/>
              <w:outlineLvl w:val="3"/>
              <w:rPr>
                <w:rFonts w:ascii="Times New Roman" w:hAnsi="Times New Roman" w:cs="Times New Roman"/>
                <w:color w:val="auto"/>
                <w:sz w:val="28"/>
                <w:szCs w:val="28"/>
                <w:lang w:eastAsia="en-US"/>
              </w:rPr>
            </w:pPr>
            <w:r w:rsidRPr="00D12B5E">
              <w:rPr>
                <w:rFonts w:ascii="Times New Roman" w:hAnsi="Times New Roman" w:cs="Times New Roman"/>
                <w:color w:val="auto"/>
                <w:sz w:val="28"/>
                <w:szCs w:val="28"/>
                <w:lang w:eastAsia="en-US"/>
              </w:rPr>
              <w:lastRenderedPageBreak/>
              <w:t>1. Giao Ủy ban nhân dân Thành phố tổ chức triển khai thực hiện Nghị quyết này.</w:t>
            </w:r>
          </w:p>
          <w:p w14:paraId="342C7DC1" w14:textId="77777777" w:rsidR="00FB486C" w:rsidRPr="00D12B5E" w:rsidRDefault="00FB486C" w:rsidP="00FB486C">
            <w:pPr>
              <w:widowControl/>
              <w:shd w:val="clear" w:color="auto" w:fill="FFFFFF"/>
              <w:spacing w:before="120"/>
              <w:jc w:val="both"/>
              <w:outlineLvl w:val="3"/>
              <w:rPr>
                <w:rFonts w:ascii="Times New Roman" w:hAnsi="Times New Roman" w:cs="Times New Roman"/>
                <w:color w:val="auto"/>
                <w:sz w:val="28"/>
                <w:szCs w:val="28"/>
                <w:lang w:eastAsia="en-US"/>
              </w:rPr>
            </w:pPr>
            <w:r w:rsidRPr="00D12B5E">
              <w:rPr>
                <w:rFonts w:ascii="Times New Roman" w:hAnsi="Times New Roman" w:cs="Times New Roman"/>
                <w:color w:val="auto"/>
                <w:sz w:val="28"/>
                <w:szCs w:val="28"/>
                <w:lang w:eastAsia="en-US"/>
              </w:rPr>
              <w:t>2. Thường trực Hội đồng nhân dân, các Ban của Hội đồng nhân dân, các Tổ đại biểu và đại biểu Hội đồng nhân dân Thành phố giám sát chặt chẽ quá trình tổ chức triển khai thực hiện Nghị quyết này.</w:t>
            </w:r>
          </w:p>
          <w:p w14:paraId="29E12C1B" w14:textId="77777777" w:rsidR="00DA4BCF" w:rsidRPr="00D12B5E" w:rsidRDefault="00DA4BCF" w:rsidP="007D6629">
            <w:pPr>
              <w:spacing w:before="60" w:after="60"/>
              <w:jc w:val="both"/>
              <w:rPr>
                <w:rFonts w:ascii="Times New Roman" w:hAnsi="Times New Roman" w:cs="Times New Roman"/>
                <w:b/>
                <w:bCs/>
                <w:color w:val="auto"/>
                <w:sz w:val="28"/>
                <w:szCs w:val="28"/>
                <w:lang w:val="en-US"/>
              </w:rPr>
            </w:pPr>
          </w:p>
        </w:tc>
        <w:tc>
          <w:tcPr>
            <w:tcW w:w="5954" w:type="dxa"/>
            <w:shd w:val="clear" w:color="auto" w:fill="FFFFFF"/>
          </w:tcPr>
          <w:p w14:paraId="3E65DD3A" w14:textId="77777777" w:rsidR="00DA4BCF" w:rsidRPr="00D12B5E" w:rsidRDefault="00DA4BCF" w:rsidP="00FF2866">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lastRenderedPageBreak/>
              <w:t>Điều chỉnh nội dung phù hợp với quy định hiện hành của Nghị quyết Hội đồng nhân dân Thành phố</w:t>
            </w:r>
            <w:r w:rsidR="00386AD5" w:rsidRPr="00D12B5E">
              <w:rPr>
                <w:rFonts w:ascii="Times New Roman" w:hAnsi="Times New Roman" w:cs="Times New Roman"/>
                <w:color w:val="auto"/>
                <w:sz w:val="28"/>
                <w:szCs w:val="28"/>
                <w:lang w:val="en-US"/>
              </w:rPr>
              <w:t xml:space="preserve"> </w:t>
            </w:r>
          </w:p>
        </w:tc>
      </w:tr>
      <w:tr w:rsidR="00D12B5E" w:rsidRPr="00D12B5E" w14:paraId="5834E49F" w14:textId="77777777" w:rsidTr="00134210">
        <w:tc>
          <w:tcPr>
            <w:tcW w:w="3823" w:type="dxa"/>
            <w:shd w:val="clear" w:color="auto" w:fill="FFFFFF"/>
          </w:tcPr>
          <w:p w14:paraId="3A09DEA9" w14:textId="77777777" w:rsidR="00423563" w:rsidRPr="00D12B5E" w:rsidRDefault="00423563" w:rsidP="00423563">
            <w:pPr>
              <w:spacing w:before="60" w:after="60"/>
              <w:jc w:val="both"/>
              <w:rPr>
                <w:rFonts w:ascii="Times New Roman" w:hAnsi="Times New Roman" w:cs="Times New Roman"/>
                <w:b/>
                <w:bCs/>
                <w:color w:val="auto"/>
                <w:sz w:val="28"/>
                <w:szCs w:val="28"/>
              </w:rPr>
            </w:pPr>
            <w:r w:rsidRPr="00D12B5E">
              <w:rPr>
                <w:rFonts w:ascii="Times New Roman" w:hAnsi="Times New Roman" w:cs="Times New Roman"/>
                <w:b/>
                <w:bCs/>
                <w:color w:val="auto"/>
                <w:sz w:val="28"/>
                <w:szCs w:val="28"/>
                <w:lang w:val="en-US"/>
              </w:rPr>
              <w:t xml:space="preserve">Tại Quy định ban hành kèm theo Nghị quyết </w:t>
            </w:r>
            <w:r w:rsidRPr="00D12B5E">
              <w:rPr>
                <w:rFonts w:ascii="Times New Roman" w:hAnsi="Times New Roman" w:cs="Times New Roman"/>
                <w:b/>
                <w:bCs/>
                <w:color w:val="auto"/>
                <w:sz w:val="28"/>
                <w:szCs w:val="28"/>
              </w:rPr>
              <w:t xml:space="preserve">số </w:t>
            </w:r>
            <w:r w:rsidRPr="00D12B5E">
              <w:rPr>
                <w:rFonts w:ascii="Times New Roman" w:hAnsi="Times New Roman" w:cs="Times New Roman"/>
                <w:b/>
                <w:bCs/>
                <w:color w:val="auto"/>
                <w:sz w:val="28"/>
                <w:szCs w:val="28"/>
                <w:lang w:val="en-US"/>
              </w:rPr>
              <w:t>30</w:t>
            </w:r>
            <w:r w:rsidRPr="00D12B5E">
              <w:rPr>
                <w:rFonts w:ascii="Times New Roman" w:hAnsi="Times New Roman" w:cs="Times New Roman"/>
                <w:b/>
                <w:bCs/>
                <w:color w:val="auto"/>
                <w:sz w:val="28"/>
                <w:szCs w:val="28"/>
              </w:rPr>
              <w:t>/202</w:t>
            </w:r>
            <w:r w:rsidRPr="00D12B5E">
              <w:rPr>
                <w:rFonts w:ascii="Times New Roman" w:hAnsi="Times New Roman" w:cs="Times New Roman"/>
                <w:b/>
                <w:bCs/>
                <w:color w:val="auto"/>
                <w:sz w:val="28"/>
                <w:szCs w:val="28"/>
                <w:lang w:val="en-US"/>
              </w:rPr>
              <w:t>4</w:t>
            </w:r>
            <w:r w:rsidR="00D233C3" w:rsidRPr="00D12B5E">
              <w:rPr>
                <w:rFonts w:ascii="Times New Roman" w:hAnsi="Times New Roman" w:cs="Times New Roman"/>
                <w:b/>
                <w:bCs/>
                <w:color w:val="auto"/>
                <w:sz w:val="28"/>
                <w:szCs w:val="28"/>
              </w:rPr>
              <w:t>/NQ-HĐND</w:t>
            </w:r>
            <w:r w:rsidRPr="00D12B5E">
              <w:rPr>
                <w:rFonts w:ascii="Times New Roman" w:hAnsi="Times New Roman" w:cs="Times New Roman"/>
                <w:b/>
                <w:bCs/>
                <w:color w:val="auto"/>
                <w:sz w:val="28"/>
                <w:szCs w:val="28"/>
                <w:lang w:val="en-US"/>
              </w:rPr>
              <w:t>:</w:t>
            </w:r>
          </w:p>
          <w:p w14:paraId="27AFD7E2"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
                <w:bCs/>
                <w:color w:val="auto"/>
                <w:sz w:val="28"/>
                <w:szCs w:val="28"/>
              </w:rPr>
              <w:t>Điều 1.</w:t>
            </w:r>
            <w:r w:rsidRPr="00D12B5E">
              <w:rPr>
                <w:rFonts w:ascii="Times New Roman" w:hAnsi="Times New Roman" w:cs="Times New Roman"/>
                <w:bCs/>
                <w:color w:val="auto"/>
                <w:sz w:val="28"/>
                <w:szCs w:val="28"/>
                <w:lang w:val="en-US"/>
              </w:rPr>
              <w:t xml:space="preserve"> </w:t>
            </w:r>
            <w:r w:rsidRPr="00D12B5E">
              <w:rPr>
                <w:rFonts w:ascii="Times New Roman" w:hAnsi="Times New Roman" w:cs="Times New Roman"/>
                <w:b/>
                <w:bCs/>
                <w:color w:val="auto"/>
                <w:sz w:val="28"/>
                <w:szCs w:val="28"/>
                <w:lang w:val="en-US"/>
              </w:rPr>
              <w:t>Phạm vi điều chỉnh và đối tượng áp dụng</w:t>
            </w:r>
          </w:p>
          <w:p w14:paraId="1FF9AE74" w14:textId="77777777" w:rsidR="00423563" w:rsidRPr="00D12B5E" w:rsidRDefault="00423563" w:rsidP="00423563">
            <w:pPr>
              <w:pStyle w:val="NormalWeb"/>
              <w:shd w:val="clear" w:color="auto" w:fill="FFFFFF"/>
              <w:spacing w:before="60" w:beforeAutospacing="0" w:after="60" w:afterAutospacing="0"/>
              <w:jc w:val="both"/>
              <w:rPr>
                <w:sz w:val="28"/>
                <w:szCs w:val="28"/>
              </w:rPr>
            </w:pPr>
            <w:r w:rsidRPr="00D12B5E">
              <w:rPr>
                <w:sz w:val="28"/>
                <w:szCs w:val="28"/>
                <w:lang w:val="es-ES"/>
              </w:rPr>
              <w:t>1. Phạm vi điều chỉnh</w:t>
            </w:r>
          </w:p>
          <w:p w14:paraId="48A65834" w14:textId="77777777" w:rsidR="00423563" w:rsidRPr="00D12B5E" w:rsidRDefault="00423563" w:rsidP="00D233C3">
            <w:pPr>
              <w:spacing w:before="60" w:after="60"/>
              <w:jc w:val="both"/>
              <w:rPr>
                <w:rFonts w:ascii="Times New Roman" w:hAnsi="Times New Roman" w:cs="Times New Roman"/>
                <w:color w:val="auto"/>
                <w:sz w:val="28"/>
                <w:szCs w:val="28"/>
              </w:rPr>
            </w:pPr>
            <w:r w:rsidRPr="00D12B5E">
              <w:rPr>
                <w:rFonts w:ascii="Times New Roman" w:hAnsi="Times New Roman" w:cs="Times New Roman"/>
                <w:color w:val="auto"/>
                <w:sz w:val="28"/>
                <w:szCs w:val="28"/>
              </w:rPr>
              <w:t xml:space="preserve">Quy định này áp dụng trong các hoạt động thuộc lĩnh vực văn hóa, nghệ thuật biểu diễn cấp khu vực, cấp toàn quốc và cấp tỉnh, cấp huyện, cấp xã; những </w:t>
            </w:r>
            <w:r w:rsidRPr="00D12B5E">
              <w:rPr>
                <w:rFonts w:ascii="Times New Roman" w:hAnsi="Times New Roman" w:cs="Times New Roman"/>
                <w:color w:val="auto"/>
                <w:sz w:val="28"/>
                <w:szCs w:val="28"/>
              </w:rPr>
              <w:lastRenderedPageBreak/>
              <w:t>hoạt động văn hóa, nghệ thuật tổ chức tỉnh Bình Dương.</w:t>
            </w:r>
          </w:p>
        </w:tc>
        <w:tc>
          <w:tcPr>
            <w:tcW w:w="4677" w:type="dxa"/>
            <w:shd w:val="clear" w:color="auto" w:fill="FFFFFF"/>
          </w:tcPr>
          <w:p w14:paraId="3092A858"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
                <w:bCs/>
                <w:color w:val="auto"/>
                <w:sz w:val="28"/>
                <w:szCs w:val="28"/>
                <w:lang w:val="en-US"/>
              </w:rPr>
              <w:lastRenderedPageBreak/>
              <w:t>Đ</w:t>
            </w:r>
            <w:r w:rsidRPr="00D12B5E">
              <w:rPr>
                <w:rFonts w:ascii="Times New Roman" w:hAnsi="Times New Roman" w:cs="Times New Roman"/>
                <w:b/>
                <w:bCs/>
                <w:color w:val="auto"/>
                <w:sz w:val="28"/>
                <w:szCs w:val="28"/>
              </w:rPr>
              <w:t>iều 1.</w:t>
            </w:r>
            <w:r w:rsidRPr="00D12B5E">
              <w:rPr>
                <w:rFonts w:ascii="Times New Roman" w:hAnsi="Times New Roman" w:cs="Times New Roman"/>
                <w:bCs/>
                <w:color w:val="auto"/>
                <w:sz w:val="28"/>
                <w:szCs w:val="28"/>
                <w:lang w:val="en-US"/>
              </w:rPr>
              <w:t xml:space="preserve"> </w:t>
            </w:r>
            <w:r w:rsidRPr="00D12B5E">
              <w:rPr>
                <w:rFonts w:ascii="Times New Roman" w:hAnsi="Times New Roman" w:cs="Times New Roman"/>
                <w:b/>
                <w:bCs/>
                <w:color w:val="auto"/>
                <w:sz w:val="28"/>
                <w:szCs w:val="28"/>
                <w:lang w:val="en-US"/>
              </w:rPr>
              <w:t>Phạm vi điều chỉnh và đối tượng áp dụng</w:t>
            </w:r>
          </w:p>
          <w:p w14:paraId="05510F90" w14:textId="77777777" w:rsidR="00423563" w:rsidRPr="00D12B5E" w:rsidRDefault="00423563" w:rsidP="00423563">
            <w:pPr>
              <w:spacing w:before="12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1. Phạm vi điều chỉnh:</w:t>
            </w:r>
          </w:p>
          <w:p w14:paraId="11CEC7C1" w14:textId="77777777" w:rsidR="00423563" w:rsidRPr="00D12B5E" w:rsidRDefault="00423563" w:rsidP="00423563">
            <w:pPr>
              <w:spacing w:before="120"/>
              <w:jc w:val="both"/>
              <w:rPr>
                <w:rFonts w:ascii="Times New Roman" w:hAnsi="Times New Roman" w:cs="Times New Roman"/>
                <w:color w:val="auto"/>
                <w:sz w:val="28"/>
                <w:szCs w:val="28"/>
              </w:rPr>
            </w:pPr>
            <w:r w:rsidRPr="00D12B5E">
              <w:rPr>
                <w:rFonts w:ascii="Times New Roman" w:hAnsi="Times New Roman" w:cs="Times New Roman"/>
                <w:color w:val="auto"/>
                <w:sz w:val="28"/>
                <w:szCs w:val="28"/>
              </w:rPr>
              <w:t xml:space="preserve">Nghị quyết này quy định nội dung và mức chi giải thưởng </w:t>
            </w:r>
            <w:r w:rsidRPr="00D12B5E">
              <w:rPr>
                <w:rFonts w:ascii="Times New Roman" w:hAnsi="Times New Roman" w:cs="Times New Roman"/>
                <w:color w:val="auto"/>
                <w:sz w:val="28"/>
                <w:szCs w:val="28"/>
                <w:lang w:val="en-US"/>
              </w:rPr>
              <w:t>cho</w:t>
            </w:r>
            <w:r w:rsidRPr="00D12B5E">
              <w:rPr>
                <w:rFonts w:ascii="Times New Roman" w:hAnsi="Times New Roman" w:cs="Times New Roman"/>
                <w:color w:val="auto"/>
                <w:sz w:val="28"/>
                <w:szCs w:val="28"/>
              </w:rPr>
              <w:t xml:space="preserve"> các cuộc thi, hội thi, hội diễn, liên hoan…trong lĩnh vực văn hóa, nghệ thuật quần chúng được tổ chức trên địa bàn Thành phố Hồ Chí Minh.</w:t>
            </w:r>
          </w:p>
        </w:tc>
        <w:tc>
          <w:tcPr>
            <w:tcW w:w="5954" w:type="dxa"/>
            <w:shd w:val="clear" w:color="auto" w:fill="FFFFFF"/>
          </w:tcPr>
          <w:p w14:paraId="44D1F2AE"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 xml:space="preserve">- So với Nghị quyết số 30/2024/NQ-HĐND, dự thảo kế thừa và điều chỉnh tên đơn vị hành chính từ tỉnh Bình Dương thành </w:t>
            </w:r>
            <w:r w:rsidRPr="00D12B5E">
              <w:rPr>
                <w:rFonts w:ascii="Times New Roman" w:hAnsi="Times New Roman" w:cs="Times New Roman"/>
                <w:color w:val="auto"/>
                <w:sz w:val="28"/>
                <w:szCs w:val="28"/>
              </w:rPr>
              <w:t>Thành phố Hồ Chí Minh</w:t>
            </w:r>
            <w:r w:rsidRPr="00D12B5E">
              <w:rPr>
                <w:rFonts w:ascii="Times New Roman" w:hAnsi="Times New Roman" w:cs="Times New Roman"/>
                <w:color w:val="auto"/>
                <w:sz w:val="28"/>
                <w:szCs w:val="28"/>
                <w:lang w:val="en-US"/>
              </w:rPr>
              <w:t>.</w:t>
            </w:r>
          </w:p>
          <w:p w14:paraId="4557E68F"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 xml:space="preserve">- Phạm vi điều chỉnh từ lĩnh vực văn hóa, nghệ thuật biểu diễn thành lĩnh vực văn hóa nghệ thuật quần chúng (không bao gồm lĩnh vực nghệ thuật biểu diễn); đồng thời xác định phạm vi địa giới hành chính </w:t>
            </w:r>
            <w:r w:rsidRPr="00D12B5E">
              <w:rPr>
                <w:rFonts w:ascii="Times New Roman" w:hAnsi="Times New Roman" w:cs="Times New Roman"/>
                <w:b/>
                <w:i/>
                <w:color w:val="auto"/>
                <w:sz w:val="28"/>
                <w:szCs w:val="28"/>
                <w:lang w:val="en-US"/>
              </w:rPr>
              <w:t>“tổ chức trên địa bàn Thành phố Hồ Chí Minh”.</w:t>
            </w:r>
            <w:r w:rsidRPr="00D12B5E">
              <w:rPr>
                <w:rFonts w:ascii="Times New Roman" w:hAnsi="Times New Roman" w:cs="Times New Roman"/>
                <w:color w:val="auto"/>
                <w:sz w:val="28"/>
                <w:szCs w:val="28"/>
                <w:lang w:val="en-US"/>
              </w:rPr>
              <w:t xml:space="preserve"> Dự thảo Nghị quyết cũng cụ thể chính sách kế thừa, đề xuất là “</w:t>
            </w:r>
            <w:r w:rsidRPr="00D12B5E">
              <w:rPr>
                <w:rFonts w:ascii="Times New Roman" w:hAnsi="Times New Roman" w:cs="Times New Roman"/>
                <w:b/>
                <w:i/>
                <w:color w:val="auto"/>
                <w:sz w:val="28"/>
                <w:szCs w:val="28"/>
                <w:lang w:val="en-US"/>
              </w:rPr>
              <w:t>Q</w:t>
            </w:r>
            <w:r w:rsidRPr="00D12B5E">
              <w:rPr>
                <w:rFonts w:ascii="Times New Roman" w:hAnsi="Times New Roman" w:cs="Times New Roman"/>
                <w:b/>
                <w:i/>
                <w:color w:val="auto"/>
                <w:sz w:val="28"/>
                <w:szCs w:val="28"/>
              </w:rPr>
              <w:t>uy định nội dung và mức chi giải thưởng</w:t>
            </w:r>
            <w:r w:rsidRPr="00D12B5E">
              <w:rPr>
                <w:rFonts w:ascii="Times New Roman" w:hAnsi="Times New Roman" w:cs="Times New Roman"/>
                <w:b/>
                <w:i/>
                <w:color w:val="auto"/>
                <w:sz w:val="28"/>
                <w:szCs w:val="28"/>
                <w:lang w:val="en-US"/>
              </w:rPr>
              <w:t xml:space="preserve"> </w:t>
            </w:r>
            <w:r w:rsidRPr="00D12B5E">
              <w:rPr>
                <w:rFonts w:ascii="Times New Roman" w:hAnsi="Times New Roman" w:cs="Times New Roman"/>
                <w:color w:val="auto"/>
                <w:sz w:val="28"/>
                <w:szCs w:val="28"/>
                <w:lang w:val="en-US"/>
              </w:rPr>
              <w:t xml:space="preserve">các hội thi, cuộc thi, hội diễn, liên hoan </w:t>
            </w:r>
            <w:r w:rsidRPr="00D12B5E">
              <w:rPr>
                <w:rFonts w:ascii="Times New Roman" w:hAnsi="Times New Roman" w:cs="Times New Roman"/>
                <w:color w:val="auto"/>
                <w:sz w:val="28"/>
                <w:szCs w:val="28"/>
                <w:lang w:val="en-US"/>
              </w:rPr>
              <w:lastRenderedPageBreak/>
              <w:t>trong lĩnh vực văn hóa, nghệ thuật quần chúng”</w:t>
            </w:r>
          </w:p>
        </w:tc>
      </w:tr>
      <w:tr w:rsidR="00D12B5E" w:rsidRPr="00D12B5E" w14:paraId="2A9AF2C2" w14:textId="77777777" w:rsidTr="00134210">
        <w:tc>
          <w:tcPr>
            <w:tcW w:w="3823" w:type="dxa"/>
            <w:shd w:val="clear" w:color="auto" w:fill="FFFFFF"/>
          </w:tcPr>
          <w:p w14:paraId="00339E74" w14:textId="77777777" w:rsidR="00423563" w:rsidRPr="00D12B5E" w:rsidRDefault="00423563" w:rsidP="00423563">
            <w:pPr>
              <w:pStyle w:val="NormalWeb"/>
              <w:shd w:val="clear" w:color="auto" w:fill="FFFFFF"/>
              <w:spacing w:before="60" w:beforeAutospacing="0" w:after="60" w:afterAutospacing="0"/>
              <w:jc w:val="both"/>
              <w:rPr>
                <w:sz w:val="28"/>
                <w:szCs w:val="28"/>
              </w:rPr>
            </w:pPr>
            <w:r w:rsidRPr="00D12B5E">
              <w:rPr>
                <w:sz w:val="28"/>
                <w:szCs w:val="28"/>
                <w:lang w:val="es-ES"/>
              </w:rPr>
              <w:lastRenderedPageBreak/>
              <w:t>2. Đối tượng áp dụng</w:t>
            </w:r>
          </w:p>
          <w:p w14:paraId="575270D3"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color w:val="auto"/>
                <w:sz w:val="28"/>
                <w:szCs w:val="28"/>
                <w:lang w:val="es-ES"/>
              </w:rPr>
              <w:t>Các đơn vị tổ chức hoạt động văn hóa, nghệ thuật; công chức, viên chức, diễn viên, cộng tác viên và các lực lượng khác trực tiếp tham gia tập luyện, biểu diễn, phục vụ công tác văn hóa, nghệ thuật biểu diễn trên địa bàn của tỉnh Bình Dương.</w:t>
            </w:r>
          </w:p>
        </w:tc>
        <w:tc>
          <w:tcPr>
            <w:tcW w:w="4677" w:type="dxa"/>
            <w:shd w:val="clear" w:color="auto" w:fill="FFFFFF"/>
          </w:tcPr>
          <w:p w14:paraId="10BF40B3"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t xml:space="preserve">2. </w:t>
            </w:r>
            <w:r w:rsidRPr="00D12B5E">
              <w:rPr>
                <w:rFonts w:ascii="Times New Roman" w:hAnsi="Times New Roman" w:cs="Times New Roman"/>
                <w:bCs/>
                <w:color w:val="auto"/>
                <w:sz w:val="28"/>
                <w:szCs w:val="28"/>
                <w:lang w:val="es-ES"/>
              </w:rPr>
              <w:t>Đối tượng áp dụng</w:t>
            </w:r>
          </w:p>
          <w:p w14:paraId="1421C010" w14:textId="77777777" w:rsidR="00423563" w:rsidRPr="00D12B5E" w:rsidRDefault="00423563" w:rsidP="00423563">
            <w:pPr>
              <w:spacing w:before="120"/>
              <w:jc w:val="both"/>
              <w:rPr>
                <w:rFonts w:ascii="Times New Roman" w:hAnsi="Times New Roman" w:cs="Times New Roman"/>
                <w:color w:val="auto"/>
                <w:sz w:val="28"/>
                <w:szCs w:val="28"/>
              </w:rPr>
            </w:pPr>
            <w:r w:rsidRPr="00D12B5E">
              <w:rPr>
                <w:rFonts w:ascii="Times New Roman" w:hAnsi="Times New Roman" w:cs="Times New Roman"/>
                <w:color w:val="auto"/>
                <w:sz w:val="28"/>
                <w:szCs w:val="28"/>
                <w:lang w:val="en-US" w:eastAsia="en-US"/>
              </w:rPr>
              <w:t>Các cơ quan, đơn vị tổ chức, tập thể và cá nhân đạt giải thưởng tại các cuộc thi, hội thi, hội diễn, liên hoan…trong lĩnh vực văn hóa, nghệ thuật quần chúng trên địa bàn Thành phố Hồ Chí Minh do cơ quan nhà nước có thẩm quyền tổ chức hoặc phối hợp tổ chức.</w:t>
            </w:r>
          </w:p>
        </w:tc>
        <w:tc>
          <w:tcPr>
            <w:tcW w:w="5954" w:type="dxa"/>
            <w:shd w:val="clear" w:color="auto" w:fill="FFFFFF"/>
          </w:tcPr>
          <w:p w14:paraId="6DD1DFA8"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 xml:space="preserve">- So với Nghị quyết số 30/2024/NQ-HĐND, dự thảo kế thừa và điều chỉnh tên đơn vị hành chính từ tỉnh Bình Dương thành </w:t>
            </w:r>
            <w:r w:rsidRPr="00D12B5E">
              <w:rPr>
                <w:rFonts w:ascii="Times New Roman" w:hAnsi="Times New Roman" w:cs="Times New Roman"/>
                <w:color w:val="auto"/>
                <w:sz w:val="28"/>
                <w:szCs w:val="28"/>
              </w:rPr>
              <w:t>Thành phố Hồ Chí Minh</w:t>
            </w:r>
            <w:r w:rsidRPr="00D12B5E">
              <w:rPr>
                <w:rFonts w:ascii="Times New Roman" w:hAnsi="Times New Roman" w:cs="Times New Roman"/>
                <w:color w:val="auto"/>
                <w:sz w:val="28"/>
                <w:szCs w:val="28"/>
                <w:lang w:val="en-US"/>
              </w:rPr>
              <w:t>.</w:t>
            </w:r>
          </w:p>
          <w:p w14:paraId="277E1290" w14:textId="77777777" w:rsidR="00423563" w:rsidRPr="00D12B5E" w:rsidRDefault="00423563" w:rsidP="00423563">
            <w:pPr>
              <w:spacing w:before="60" w:after="60"/>
              <w:jc w:val="both"/>
              <w:rPr>
                <w:rFonts w:ascii="Times New Roman" w:hAnsi="Times New Roman" w:cs="Times New Roman"/>
                <w:bCs/>
                <w:color w:val="auto"/>
                <w:sz w:val="28"/>
                <w:szCs w:val="28"/>
                <w:lang w:val="en-US" w:eastAsia="en-US"/>
              </w:rPr>
            </w:pPr>
            <w:r w:rsidRPr="00D12B5E">
              <w:rPr>
                <w:rFonts w:ascii="Times New Roman" w:hAnsi="Times New Roman" w:cs="Times New Roman"/>
                <w:color w:val="auto"/>
                <w:sz w:val="28"/>
                <w:szCs w:val="28"/>
                <w:lang w:val="en-US"/>
              </w:rPr>
              <w:t xml:space="preserve">- Đối tượng áp dụng được điều chỉnh phù hợp với nội dung chính sách của Nghị quyết </w:t>
            </w:r>
            <w:r w:rsidRPr="00D12B5E">
              <w:rPr>
                <w:rFonts w:ascii="Times New Roman" w:hAnsi="Times New Roman" w:cs="Times New Roman"/>
                <w:b/>
                <w:i/>
                <w:color w:val="auto"/>
                <w:sz w:val="28"/>
                <w:szCs w:val="28"/>
                <w:lang w:val="en-US"/>
              </w:rPr>
              <w:t>“</w:t>
            </w:r>
            <w:r w:rsidRPr="00D12B5E">
              <w:rPr>
                <w:rFonts w:ascii="Times New Roman" w:hAnsi="Times New Roman" w:cs="Times New Roman"/>
                <w:b/>
                <w:i/>
                <w:color w:val="auto"/>
                <w:sz w:val="28"/>
                <w:szCs w:val="28"/>
                <w:lang w:val="en-US" w:eastAsia="en-US"/>
              </w:rPr>
              <w:t>Các cơ quan, đơn vị tổ chức, tập thể và cá nhân đạt giải thưởng tại các cuộc thi, hội thi, hội diễn, liên hoan…trong lĩnh vực văn hóa, nghệ thuật quần chúng trên địa bàn Thành phố Hồ Chí Minh do cơ quan nhà nước có thẩm quyền tổ chức hoặc phối hợp tổ chức</w:t>
            </w:r>
            <w:r w:rsidRPr="00D12B5E">
              <w:rPr>
                <w:rFonts w:ascii="Times New Roman" w:hAnsi="Times New Roman" w:cs="Times New Roman"/>
                <w:b/>
                <w:bCs/>
                <w:i/>
                <w:color w:val="auto"/>
                <w:sz w:val="28"/>
                <w:szCs w:val="28"/>
                <w:lang w:val="en-US" w:eastAsia="en-US"/>
              </w:rPr>
              <w:t>”</w:t>
            </w:r>
            <w:r w:rsidRPr="00D12B5E">
              <w:rPr>
                <w:rFonts w:ascii="Times New Roman" w:hAnsi="Times New Roman" w:cs="Times New Roman"/>
                <w:bCs/>
                <w:color w:val="auto"/>
                <w:sz w:val="28"/>
                <w:szCs w:val="28"/>
                <w:lang w:val="en-US" w:eastAsia="en-US"/>
              </w:rPr>
              <w:t xml:space="preserve">; </w:t>
            </w:r>
            <w:r w:rsidRPr="00D12B5E">
              <w:rPr>
                <w:rFonts w:ascii="Times New Roman" w:hAnsi="Times New Roman" w:cs="Times New Roman"/>
                <w:color w:val="auto"/>
                <w:sz w:val="28"/>
                <w:szCs w:val="28"/>
                <w:lang w:val="en-US"/>
              </w:rPr>
              <w:t>đảm bảo sự rõ ràng, minh bạch trong việc áp dụng các mức chi của Nghị quyết.</w:t>
            </w:r>
          </w:p>
        </w:tc>
      </w:tr>
      <w:tr w:rsidR="00D12B5E" w:rsidRPr="00D12B5E" w14:paraId="7C0089EA" w14:textId="77777777" w:rsidTr="00134210">
        <w:tc>
          <w:tcPr>
            <w:tcW w:w="3823" w:type="dxa"/>
            <w:shd w:val="clear" w:color="auto" w:fill="FFFFFF"/>
          </w:tcPr>
          <w:p w14:paraId="155FCB27" w14:textId="77777777" w:rsidR="00423563" w:rsidRPr="00D12B5E" w:rsidRDefault="00423563" w:rsidP="00423563">
            <w:pPr>
              <w:pStyle w:val="NormalWeb"/>
              <w:shd w:val="clear" w:color="auto" w:fill="FFFFFF"/>
              <w:spacing w:before="60" w:beforeAutospacing="0" w:after="60" w:afterAutospacing="0"/>
              <w:jc w:val="both"/>
              <w:rPr>
                <w:b/>
                <w:bCs/>
                <w:sz w:val="28"/>
                <w:szCs w:val="28"/>
                <w:lang w:val="es-ES"/>
              </w:rPr>
            </w:pPr>
            <w:r w:rsidRPr="00D12B5E">
              <w:rPr>
                <w:b/>
                <w:bCs/>
                <w:sz w:val="28"/>
                <w:szCs w:val="28"/>
                <w:lang w:val="es-ES"/>
              </w:rPr>
              <w:t xml:space="preserve">Điều 9. Chi khen thưởng  các cuộc thi, hội thi, hội diễn, liên hoan tổ chức trên địa bàn tỉnh </w:t>
            </w:r>
            <w:r w:rsidRPr="00D12B5E">
              <w:rPr>
                <w:bCs/>
                <w:sz w:val="28"/>
                <w:szCs w:val="28"/>
                <w:lang w:val="es-ES"/>
              </w:rPr>
              <w:t>(Phụ lục 02 kèm theo)</w:t>
            </w:r>
          </w:p>
        </w:tc>
        <w:tc>
          <w:tcPr>
            <w:tcW w:w="4677" w:type="dxa"/>
            <w:shd w:val="clear" w:color="auto" w:fill="FFFFFF"/>
          </w:tcPr>
          <w:p w14:paraId="1701665F" w14:textId="77777777" w:rsidR="00423563" w:rsidRPr="00D12B5E" w:rsidRDefault="00423563" w:rsidP="00423563">
            <w:pPr>
              <w:spacing w:before="120"/>
              <w:jc w:val="both"/>
              <w:rPr>
                <w:rFonts w:ascii="Times New Roman" w:hAnsi="Times New Roman" w:cs="Times New Roman"/>
                <w:color w:val="auto"/>
                <w:sz w:val="28"/>
                <w:szCs w:val="28"/>
              </w:rPr>
            </w:pPr>
            <w:r w:rsidRPr="00D12B5E">
              <w:rPr>
                <w:rFonts w:ascii="Times New Roman" w:hAnsi="Times New Roman" w:cs="Times New Roman"/>
                <w:b/>
                <w:color w:val="auto"/>
                <w:sz w:val="28"/>
                <w:szCs w:val="28"/>
              </w:rPr>
              <w:t>Điều 2. Nội dung Nghị quyết</w:t>
            </w:r>
          </w:p>
          <w:p w14:paraId="2BC0FDC4" w14:textId="77777777" w:rsidR="00423563" w:rsidRPr="00D12B5E" w:rsidRDefault="00126E5A" w:rsidP="00126E5A">
            <w:pPr>
              <w:spacing w:before="120"/>
              <w:jc w:val="both"/>
              <w:rPr>
                <w:rFonts w:ascii="Times New Roman" w:hAnsi="Times New Roman" w:cs="Times New Roman"/>
                <w:color w:val="auto"/>
                <w:sz w:val="28"/>
              </w:rPr>
            </w:pPr>
            <w:r w:rsidRPr="00D12B5E">
              <w:rPr>
                <w:rFonts w:ascii="Times New Roman" w:hAnsi="Times New Roman" w:cs="Times New Roman"/>
                <w:color w:val="auto"/>
                <w:sz w:val="28"/>
                <w:szCs w:val="28"/>
              </w:rPr>
              <w:t>Nội dung và mức chi giải thưởng cho các cuộc thi, hội thi, hội diễn, liên hoan…trong lĩnh vực văn hóa, nghệ thuật quần chúng tổ chức trên địa bàn Thành phố Hồ Chí Minh</w:t>
            </w:r>
            <w:r w:rsidRPr="00D12B5E">
              <w:rPr>
                <w:rFonts w:ascii="Times New Roman" w:hAnsi="Times New Roman" w:cs="Times New Roman"/>
                <w:color w:val="auto"/>
                <w:sz w:val="28"/>
                <w:szCs w:val="28"/>
                <w:lang w:val="en-US"/>
              </w:rPr>
              <w:t>.</w:t>
            </w:r>
            <w:r w:rsidRPr="00D12B5E">
              <w:rPr>
                <w:rFonts w:ascii="Times New Roman" w:hAnsi="Times New Roman" w:cs="Times New Roman"/>
                <w:color w:val="auto"/>
                <w:sz w:val="28"/>
                <w:szCs w:val="28"/>
              </w:rPr>
              <w:t xml:space="preserve"> </w:t>
            </w:r>
          </w:p>
        </w:tc>
        <w:tc>
          <w:tcPr>
            <w:tcW w:w="5954" w:type="dxa"/>
            <w:shd w:val="clear" w:color="auto" w:fill="FFFFFF"/>
          </w:tcPr>
          <w:p w14:paraId="25D404F9"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 xml:space="preserve">- So với Nghị quyết số 30/2024/NQ-HĐND, dự thảo kế thừa và điều chỉnh tên đơn vị hành chính từ tỉnh Bình Dương thành </w:t>
            </w:r>
            <w:r w:rsidRPr="00D12B5E">
              <w:rPr>
                <w:rFonts w:ascii="Times New Roman" w:hAnsi="Times New Roman" w:cs="Times New Roman"/>
                <w:color w:val="auto"/>
                <w:sz w:val="28"/>
                <w:szCs w:val="28"/>
              </w:rPr>
              <w:t>Thành phố Hồ Chí Minh</w:t>
            </w:r>
            <w:r w:rsidRPr="00D12B5E">
              <w:rPr>
                <w:rFonts w:ascii="Times New Roman" w:hAnsi="Times New Roman" w:cs="Times New Roman"/>
                <w:color w:val="auto"/>
                <w:sz w:val="28"/>
                <w:szCs w:val="28"/>
                <w:lang w:val="en-US"/>
              </w:rPr>
              <w:t>.</w:t>
            </w:r>
          </w:p>
          <w:p w14:paraId="51CF83D8" w14:textId="77777777" w:rsidR="00423563" w:rsidRPr="00D12B5E" w:rsidRDefault="00423563" w:rsidP="00423563">
            <w:pPr>
              <w:spacing w:before="60" w:after="60"/>
              <w:jc w:val="both"/>
              <w:rPr>
                <w:rFonts w:ascii="Times New Roman" w:hAnsi="Times New Roman" w:cs="Times New Roman"/>
                <w:b/>
                <w:color w:val="auto"/>
                <w:sz w:val="28"/>
                <w:szCs w:val="28"/>
                <w:lang w:val="en-US"/>
              </w:rPr>
            </w:pPr>
            <w:r w:rsidRPr="00D12B5E">
              <w:rPr>
                <w:rFonts w:ascii="Times New Roman" w:hAnsi="Times New Roman" w:cs="Times New Roman"/>
                <w:color w:val="auto"/>
                <w:sz w:val="28"/>
                <w:szCs w:val="28"/>
                <w:lang w:val="en-US"/>
              </w:rPr>
              <w:t xml:space="preserve">- Dự thảo nội dung Nghị quyết điều chỉnh phù hợp với chính sách của Nghị quyết </w:t>
            </w:r>
            <w:r w:rsidRPr="00D12B5E">
              <w:rPr>
                <w:rFonts w:ascii="Times New Roman" w:hAnsi="Times New Roman" w:cs="Times New Roman"/>
                <w:b/>
                <w:i/>
                <w:color w:val="auto"/>
                <w:sz w:val="28"/>
                <w:szCs w:val="28"/>
                <w:lang w:val="en-US"/>
              </w:rPr>
              <w:t>“Q</w:t>
            </w:r>
            <w:r w:rsidRPr="00D12B5E">
              <w:rPr>
                <w:rFonts w:ascii="Times New Roman" w:hAnsi="Times New Roman" w:cs="Times New Roman"/>
                <w:b/>
                <w:i/>
                <w:color w:val="auto"/>
                <w:sz w:val="28"/>
                <w:szCs w:val="28"/>
              </w:rPr>
              <w:t xml:space="preserve">uy định nội dung và mức chi các giải thưởng trong lĩnh vực văn hóa, nghệ thuật quần chúng </w:t>
            </w:r>
            <w:r w:rsidR="00126E5A" w:rsidRPr="00D12B5E">
              <w:rPr>
                <w:rFonts w:ascii="Times New Roman" w:hAnsi="Times New Roman" w:cs="Times New Roman"/>
                <w:b/>
                <w:i/>
                <w:color w:val="auto"/>
                <w:sz w:val="28"/>
                <w:szCs w:val="28"/>
                <w:lang w:val="en-US"/>
              </w:rPr>
              <w:t xml:space="preserve">tổ chức </w:t>
            </w:r>
            <w:r w:rsidRPr="00D12B5E">
              <w:rPr>
                <w:rFonts w:ascii="Times New Roman" w:hAnsi="Times New Roman" w:cs="Times New Roman"/>
                <w:b/>
                <w:i/>
                <w:color w:val="auto"/>
                <w:sz w:val="28"/>
                <w:szCs w:val="28"/>
              </w:rPr>
              <w:t>trên địa bàn Thành phố Hồ Chí Minh</w:t>
            </w:r>
            <w:r w:rsidR="00960F6B" w:rsidRPr="00D12B5E">
              <w:rPr>
                <w:rFonts w:ascii="Times New Roman" w:hAnsi="Times New Roman" w:cs="Times New Roman"/>
                <w:b/>
                <w:color w:val="auto"/>
                <w:sz w:val="28"/>
                <w:szCs w:val="28"/>
                <w:lang w:val="en-US"/>
              </w:rPr>
              <w:t>”.</w:t>
            </w:r>
          </w:p>
          <w:p w14:paraId="2101E8EF" w14:textId="77777777" w:rsidR="00F5738A" w:rsidRPr="00D12B5E" w:rsidRDefault="00F5738A" w:rsidP="00423563">
            <w:pPr>
              <w:spacing w:before="60" w:after="60"/>
              <w:jc w:val="both"/>
              <w:rPr>
                <w:rFonts w:ascii="Times New Roman" w:hAnsi="Times New Roman" w:cs="Times New Roman"/>
                <w:b/>
                <w:color w:val="auto"/>
                <w:sz w:val="28"/>
                <w:szCs w:val="28"/>
                <w:lang w:val="en-US"/>
              </w:rPr>
            </w:pPr>
            <w:r w:rsidRPr="00D12B5E">
              <w:rPr>
                <w:rFonts w:ascii="Times New Roman" w:hAnsi="Times New Roman" w:cs="Times New Roman"/>
                <w:b/>
                <w:color w:val="auto"/>
                <w:sz w:val="28"/>
                <w:szCs w:val="28"/>
                <w:lang w:val="en-US"/>
              </w:rPr>
              <w:t xml:space="preserve">- </w:t>
            </w:r>
            <w:r w:rsidRPr="00D12B5E">
              <w:rPr>
                <w:rFonts w:ascii="Times New Roman" w:hAnsi="Times New Roman" w:cs="Times New Roman"/>
                <w:color w:val="auto"/>
                <w:sz w:val="28"/>
                <w:szCs w:val="28"/>
                <w:lang w:val="en-US"/>
              </w:rPr>
              <w:t>Dự thảo nội dung Nghị quyết</w:t>
            </w:r>
            <w:r w:rsidRPr="00D12B5E">
              <w:rPr>
                <w:rFonts w:ascii="Times New Roman" w:hAnsi="Times New Roman" w:cs="Times New Roman"/>
                <w:b/>
                <w:color w:val="auto"/>
                <w:sz w:val="28"/>
                <w:szCs w:val="28"/>
                <w:lang w:val="en-US"/>
              </w:rPr>
              <w:t xml:space="preserve"> </w:t>
            </w:r>
            <w:r w:rsidRPr="00D12B5E">
              <w:rPr>
                <w:rFonts w:ascii="Times New Roman" w:hAnsi="Times New Roman" w:cs="Times New Roman"/>
                <w:color w:val="auto"/>
                <w:sz w:val="28"/>
                <w:szCs w:val="28"/>
                <w:lang w:val="en-US"/>
              </w:rPr>
              <w:t xml:space="preserve">đề xuất ban hành thống nhất áp dụng đồng bộ mức chi chung (giải tập thể, giải cá nhân) </w:t>
            </w:r>
            <w:r w:rsidRPr="00D12B5E">
              <w:rPr>
                <w:rFonts w:ascii="Times New Roman" w:hAnsi="Times New Roman" w:cs="Times New Roman"/>
                <w:color w:val="auto"/>
                <w:sz w:val="28"/>
                <w:szCs w:val="28"/>
              </w:rPr>
              <w:t>cho</w:t>
            </w:r>
            <w:r w:rsidRPr="00D12B5E">
              <w:rPr>
                <w:rFonts w:ascii="Times New Roman" w:hAnsi="Times New Roman" w:cs="Times New Roman"/>
                <w:color w:val="auto"/>
                <w:sz w:val="28"/>
                <w:szCs w:val="28"/>
                <w:lang w:val="en-US"/>
              </w:rPr>
              <w:t xml:space="preserve"> tất cả</w:t>
            </w:r>
            <w:r w:rsidRPr="00D12B5E">
              <w:rPr>
                <w:rFonts w:ascii="Times New Roman" w:hAnsi="Times New Roman" w:cs="Times New Roman"/>
                <w:color w:val="auto"/>
                <w:sz w:val="28"/>
                <w:szCs w:val="28"/>
              </w:rPr>
              <w:t xml:space="preserve"> các cuộc thi, hội thi, hội diễn, liên hoan…trong lĩnh vực văn hóa, nghệ thuật quần chúng tổ chức trên địa bàn Thành phố Hồ Chí Minh</w:t>
            </w:r>
            <w:r w:rsidRPr="00D12B5E">
              <w:rPr>
                <w:rFonts w:ascii="Times New Roman" w:hAnsi="Times New Roman" w:cs="Times New Roman"/>
                <w:color w:val="auto"/>
                <w:sz w:val="28"/>
                <w:szCs w:val="28"/>
                <w:lang w:val="en-US"/>
              </w:rPr>
              <w:t xml:space="preserve">; đảm bảo </w:t>
            </w:r>
            <w:r w:rsidRPr="00D12B5E">
              <w:rPr>
                <w:rFonts w:ascii="Times New Roman" w:hAnsi="Times New Roman" w:cs="Times New Roman"/>
                <w:color w:val="auto"/>
                <w:sz w:val="28"/>
                <w:szCs w:val="28"/>
                <w:lang w:val="vi"/>
              </w:rPr>
              <w:t xml:space="preserve">tính khách quan, minh bạch, chuyên </w:t>
            </w:r>
            <w:r w:rsidRPr="00D12B5E">
              <w:rPr>
                <w:rFonts w:ascii="Times New Roman" w:hAnsi="Times New Roman" w:cs="Times New Roman"/>
                <w:color w:val="auto"/>
                <w:sz w:val="28"/>
                <w:szCs w:val="28"/>
                <w:lang w:val="vi"/>
              </w:rPr>
              <w:lastRenderedPageBreak/>
              <w:t>nghiệp trong tổ chức</w:t>
            </w:r>
            <w:r w:rsidRPr="00D12B5E">
              <w:rPr>
                <w:rFonts w:ascii="Times New Roman" w:hAnsi="Times New Roman" w:cs="Times New Roman"/>
                <w:color w:val="auto"/>
                <w:sz w:val="28"/>
                <w:szCs w:val="28"/>
              </w:rPr>
              <w:t>.</w:t>
            </w:r>
          </w:p>
          <w:p w14:paraId="6151EF24" w14:textId="77777777" w:rsidR="00423563" w:rsidRPr="00D12B5E" w:rsidRDefault="00423563" w:rsidP="00423563">
            <w:pPr>
              <w:spacing w:before="60" w:after="60"/>
              <w:jc w:val="both"/>
              <w:rPr>
                <w:rFonts w:ascii="Times New Roman" w:hAnsi="Times New Roman" w:cs="Times New Roman"/>
                <w:b/>
                <w:color w:val="auto"/>
                <w:sz w:val="28"/>
                <w:szCs w:val="28"/>
                <w:lang w:val="en-US"/>
              </w:rPr>
            </w:pPr>
            <w:r w:rsidRPr="00D12B5E">
              <w:rPr>
                <w:rFonts w:ascii="Times New Roman" w:hAnsi="Times New Roman" w:cs="Times New Roman"/>
                <w:b/>
                <w:color w:val="auto"/>
                <w:sz w:val="28"/>
                <w:szCs w:val="28"/>
                <w:lang w:val="en-US"/>
              </w:rPr>
              <w:t xml:space="preserve">- Về định mức chi </w:t>
            </w:r>
          </w:p>
          <w:p w14:paraId="1F501B83" w14:textId="77777777" w:rsidR="00423563" w:rsidRPr="00D12B5E" w:rsidRDefault="00423563" w:rsidP="00423563">
            <w:pPr>
              <w:widowControl/>
              <w:spacing w:before="80" w:after="80"/>
              <w:jc w:val="both"/>
              <w:rPr>
                <w:rFonts w:ascii="Times New Roman" w:hAnsi="Times New Roman" w:cs="Times New Roman"/>
                <w:bCs/>
                <w:i/>
                <w:iCs/>
                <w:color w:val="auto"/>
                <w:sz w:val="28"/>
                <w:szCs w:val="28"/>
                <w:lang w:val="en-US" w:eastAsia="en-US"/>
              </w:rPr>
            </w:pPr>
            <w:r w:rsidRPr="00D12B5E">
              <w:rPr>
                <w:rFonts w:ascii="Times New Roman" w:hAnsi="Times New Roman" w:cs="Times New Roman"/>
                <w:bCs/>
                <w:i/>
                <w:iCs/>
                <w:color w:val="auto"/>
                <w:sz w:val="28"/>
                <w:szCs w:val="28"/>
                <w:lang w:val="en-US" w:eastAsia="en-US"/>
              </w:rPr>
              <w:t>Giải Tập thể:</w:t>
            </w:r>
          </w:p>
          <w:p w14:paraId="5F3C257D" w14:textId="77777777" w:rsidR="00423563" w:rsidRPr="00D12B5E" w:rsidRDefault="00423563" w:rsidP="00423563">
            <w:pPr>
              <w:widowControl/>
              <w:spacing w:before="80" w:after="80"/>
              <w:jc w:val="both"/>
              <w:rPr>
                <w:rFonts w:ascii="Times New Roman" w:hAnsi="Times New Roman" w:cs="Times New Roman"/>
                <w:bCs/>
                <w:color w:val="auto"/>
                <w:sz w:val="28"/>
                <w:szCs w:val="28"/>
                <w:lang w:val="en-US" w:eastAsia="en-US"/>
              </w:rPr>
            </w:pPr>
            <w:r w:rsidRPr="00D12B5E">
              <w:rPr>
                <w:rFonts w:ascii="Times New Roman" w:hAnsi="Times New Roman" w:cs="Times New Roman"/>
                <w:bCs/>
                <w:color w:val="auto"/>
                <w:sz w:val="28"/>
                <w:szCs w:val="28"/>
                <w:lang w:val="en-US" w:eastAsia="en-US"/>
              </w:rPr>
              <w:t xml:space="preserve">+ Cấp Thành phố (Ủy ban nhân dân Thành phố, Sở Văn hóa và Thể thao tổ chức): </w:t>
            </w:r>
            <w:r w:rsidRPr="00D12B5E">
              <w:rPr>
                <w:rFonts w:ascii="Times New Roman" w:hAnsi="Times New Roman" w:cs="Times New Roman"/>
                <w:color w:val="auto"/>
                <w:sz w:val="28"/>
                <w:szCs w:val="28"/>
                <w:lang w:val="en-US" w:eastAsia="en-US"/>
              </w:rPr>
              <w:t>Áp dụng định mức chi cao nhất cho cấp tỉnh Bình Dương (cũ) theo Nghị quyết số 30/2024/NQ-HĐND để áp dụng cho cấp Thành phố (mới).</w:t>
            </w:r>
          </w:p>
          <w:p w14:paraId="21770F65" w14:textId="77777777" w:rsidR="00423563" w:rsidRPr="00D12B5E" w:rsidRDefault="00423563" w:rsidP="00423563">
            <w:pPr>
              <w:widowControl/>
              <w:spacing w:before="80" w:after="80"/>
              <w:jc w:val="both"/>
              <w:rPr>
                <w:rFonts w:ascii="Times New Roman" w:hAnsi="Times New Roman" w:cs="Times New Roman"/>
                <w:color w:val="auto"/>
                <w:sz w:val="28"/>
                <w:szCs w:val="28"/>
                <w:lang w:val="en-US" w:eastAsia="en-US"/>
              </w:rPr>
            </w:pPr>
            <w:r w:rsidRPr="00D12B5E">
              <w:rPr>
                <w:rFonts w:ascii="Times New Roman" w:hAnsi="Times New Roman" w:cs="Times New Roman"/>
                <w:bCs/>
                <w:color w:val="auto"/>
                <w:sz w:val="28"/>
                <w:szCs w:val="28"/>
                <w:lang w:val="en-US" w:eastAsia="en-US"/>
              </w:rPr>
              <w:t xml:space="preserve">+ </w:t>
            </w:r>
            <w:r w:rsidRPr="00D12B5E">
              <w:rPr>
                <w:rFonts w:ascii="Times New Roman" w:hAnsi="Times New Roman" w:cs="Times New Roman"/>
                <w:color w:val="auto"/>
                <w:sz w:val="28"/>
                <w:szCs w:val="28"/>
                <w:lang w:val="en-US" w:eastAsia="en-US"/>
              </w:rPr>
              <w:t xml:space="preserve">Ủy ban Mặt trận Tổ quốc Việt Nam Thành phố và các tổ chức chính trị - xã hội Thành phố, các sở ban ngành Thành phố, Ủy ban nhân dân các phường, xã, đặc khu tổ chức: Áp dụng định mức chi cao nhất của mức chi trung bình giữa cấp huyện, các ngành tỉnh Bình Dương (cũ) và cấp xã, các ban ngành cấp huyện của tỉnh Bình Dương (cũ) theo Nghị quyết số 30/2024/NQ-HĐND để áp dụng cho </w:t>
            </w:r>
            <w:r w:rsidRPr="00D12B5E">
              <w:rPr>
                <w:rFonts w:ascii="Times New Roman" w:hAnsi="Times New Roman" w:cs="Times New Roman"/>
                <w:bCs/>
                <w:color w:val="auto"/>
                <w:sz w:val="28"/>
                <w:szCs w:val="28"/>
                <w:shd w:val="clear" w:color="auto" w:fill="FFFFFF"/>
                <w:lang w:val="en-US" w:eastAsia="en-US"/>
              </w:rPr>
              <w:t>c</w:t>
            </w:r>
            <w:r w:rsidRPr="00D12B5E">
              <w:rPr>
                <w:rFonts w:ascii="Times New Roman" w:hAnsi="Times New Roman" w:cs="Times New Roman"/>
                <w:color w:val="auto"/>
                <w:sz w:val="28"/>
                <w:szCs w:val="28"/>
                <w:lang w:val="en-US" w:eastAsia="en-US"/>
              </w:rPr>
              <w:t xml:space="preserve">ác </w:t>
            </w:r>
            <w:r w:rsidRPr="00D12B5E">
              <w:rPr>
                <w:rFonts w:ascii="Times New Roman" w:eastAsia="Calibri" w:hAnsi="Times New Roman" w:cs="Times New Roman"/>
                <w:color w:val="auto"/>
                <w:sz w:val="28"/>
                <w:szCs w:val="28"/>
                <w:lang w:val="en-US" w:eastAsia="en-US"/>
              </w:rPr>
              <w:t>sở, ban, ngành,</w:t>
            </w:r>
            <w:r w:rsidRPr="00D12B5E">
              <w:rPr>
                <w:rFonts w:ascii="Times New Roman" w:hAnsi="Times New Roman" w:cs="Times New Roman"/>
                <w:color w:val="auto"/>
                <w:sz w:val="28"/>
                <w:szCs w:val="28"/>
                <w:lang w:val="en-US" w:eastAsia="en-US"/>
              </w:rPr>
              <w:t xml:space="preserve"> </w:t>
            </w:r>
            <w:r w:rsidRPr="00D12B5E">
              <w:rPr>
                <w:rFonts w:ascii="Times New Roman" w:eastAsia="Calibri" w:hAnsi="Times New Roman" w:cs="Times New Roman"/>
                <w:color w:val="auto"/>
                <w:sz w:val="28"/>
                <w:szCs w:val="28"/>
                <w:lang w:val="en-US" w:eastAsia="en-US"/>
              </w:rPr>
              <w:t>Mặt trận Tổ quốc Việt Nam Thành phố và các tổ chức chính trị - xã hội của Thành phố;</w:t>
            </w:r>
            <w:r w:rsidRPr="00D12B5E">
              <w:rPr>
                <w:rFonts w:ascii="Times New Roman" w:hAnsi="Times New Roman" w:cs="Times New Roman"/>
                <w:color w:val="auto"/>
                <w:sz w:val="28"/>
                <w:szCs w:val="28"/>
                <w:lang w:val="en-US" w:eastAsia="en-US"/>
              </w:rPr>
              <w:t xml:space="preserve"> các xã, phường, đặc khu. </w:t>
            </w:r>
          </w:p>
          <w:p w14:paraId="6F964724" w14:textId="77777777" w:rsidR="00423563" w:rsidRPr="00D12B5E" w:rsidRDefault="00423563" w:rsidP="00423563">
            <w:pPr>
              <w:widowControl/>
              <w:spacing w:before="80" w:after="80"/>
              <w:jc w:val="both"/>
              <w:rPr>
                <w:rFonts w:ascii="Times New Roman" w:hAnsi="Times New Roman" w:cs="Times New Roman"/>
                <w:i/>
                <w:iCs/>
                <w:color w:val="auto"/>
                <w:sz w:val="28"/>
                <w:szCs w:val="28"/>
                <w:lang w:val="en-US" w:eastAsia="en-US"/>
              </w:rPr>
            </w:pPr>
            <w:r w:rsidRPr="00D12B5E">
              <w:rPr>
                <w:rFonts w:ascii="Times New Roman" w:hAnsi="Times New Roman" w:cs="Times New Roman"/>
                <w:i/>
                <w:iCs/>
                <w:color w:val="auto"/>
                <w:sz w:val="28"/>
                <w:szCs w:val="28"/>
                <w:lang w:val="en-US" w:eastAsia="en-US"/>
              </w:rPr>
              <w:t xml:space="preserve">Giải cá nhân: </w:t>
            </w:r>
          </w:p>
          <w:p w14:paraId="73342BC8" w14:textId="77777777" w:rsidR="00FF2866" w:rsidRPr="00D12B5E" w:rsidRDefault="00FF2866" w:rsidP="00FF2866">
            <w:pPr>
              <w:widowControl/>
              <w:spacing w:before="120" w:after="120"/>
              <w:jc w:val="both"/>
              <w:rPr>
                <w:rFonts w:ascii="Times New Roman" w:hAnsi="Times New Roman" w:cs="Times New Roman"/>
                <w:color w:val="auto"/>
                <w:sz w:val="28"/>
                <w:szCs w:val="28"/>
                <w:lang w:val="en-US" w:eastAsia="en-US"/>
              </w:rPr>
            </w:pPr>
            <w:r w:rsidRPr="00D12B5E">
              <w:rPr>
                <w:rFonts w:ascii="Times New Roman" w:hAnsi="Times New Roman" w:cs="Times New Roman"/>
                <w:bCs/>
                <w:color w:val="auto"/>
                <w:sz w:val="28"/>
                <w:szCs w:val="28"/>
                <w:lang w:val="en-US" w:eastAsia="en-US"/>
              </w:rPr>
              <w:t xml:space="preserve">+ Cấp Thành phố (Ủy ban nhân dân Thành phố, Sở Văn hóa và Thể thao tổ chức): </w:t>
            </w:r>
            <w:r w:rsidRPr="00D12B5E">
              <w:rPr>
                <w:rFonts w:ascii="Times New Roman" w:hAnsi="Times New Roman" w:cs="Times New Roman"/>
                <w:color w:val="auto"/>
                <w:sz w:val="28"/>
                <w:szCs w:val="28"/>
                <w:lang w:val="en-US" w:eastAsia="en-US"/>
              </w:rPr>
              <w:t>Áp dụng định mức chi cao nhất cho cấp tỉnh Bình Dương (cũ) theo Nghị quyết số 30/2024/NQ-HĐND để áp dụng cho cấp Thành phố (mới); đ</w:t>
            </w:r>
            <w:r w:rsidRPr="00D12B5E">
              <w:rPr>
                <w:rFonts w:ascii="Times New Roman" w:hAnsi="Times New Roman" w:cs="Times New Roman"/>
                <w:bCs/>
                <w:color w:val="auto"/>
                <w:sz w:val="28"/>
                <w:szCs w:val="28"/>
                <w:lang w:val="en-US" w:eastAsia="en-US"/>
              </w:rPr>
              <w:t>ồng thời đề xuất tăng thêm 30%.</w:t>
            </w:r>
          </w:p>
          <w:p w14:paraId="338093AA" w14:textId="77777777" w:rsidR="00FF2866" w:rsidRPr="00D12B5E" w:rsidRDefault="00FF2866" w:rsidP="00FF2866">
            <w:pPr>
              <w:widowControl/>
              <w:spacing w:before="120" w:after="120"/>
              <w:jc w:val="both"/>
              <w:rPr>
                <w:rFonts w:ascii="Times New Roman" w:hAnsi="Times New Roman" w:cs="Times New Roman"/>
                <w:bCs/>
                <w:color w:val="auto"/>
                <w:sz w:val="28"/>
                <w:szCs w:val="28"/>
                <w:lang w:val="en-US" w:eastAsia="en-US"/>
              </w:rPr>
            </w:pPr>
            <w:r w:rsidRPr="00D12B5E">
              <w:rPr>
                <w:rFonts w:ascii="Times New Roman" w:hAnsi="Times New Roman" w:cs="Times New Roman"/>
                <w:bCs/>
                <w:color w:val="auto"/>
                <w:sz w:val="28"/>
                <w:szCs w:val="28"/>
                <w:lang w:val="en-US" w:eastAsia="en-US"/>
              </w:rPr>
              <w:lastRenderedPageBreak/>
              <w:t xml:space="preserve">+ </w:t>
            </w:r>
            <w:r w:rsidRPr="00D12B5E">
              <w:rPr>
                <w:rFonts w:ascii="Times New Roman" w:hAnsi="Times New Roman" w:cs="Times New Roman"/>
                <w:color w:val="auto"/>
                <w:sz w:val="28"/>
                <w:szCs w:val="28"/>
                <w:lang w:val="en-US" w:eastAsia="en-US"/>
              </w:rPr>
              <w:t xml:space="preserve">Ủy ban Mặt trận Tổ quốc Việt Nam Thành phố và các tổ chức chính trị - xã hội Thành phố, các sở ban ngành Thành phố, Ủy ban nhân dân các phường, xã, đặc khu tổ chức: Áp dụng định mức chi cao nhất của mức chi trung bình giữa cấp huyện, các ngành tỉnh Bình Dương (cũ) và cấp xã, các ban ngành cấp huyện của tỉnh Bình Dương (cũ) theo Nghị quyết số 30/2024/NQ-HĐND để áp dụng cho </w:t>
            </w:r>
            <w:r w:rsidRPr="00D12B5E">
              <w:rPr>
                <w:rFonts w:ascii="Times New Roman" w:hAnsi="Times New Roman" w:cs="Times New Roman"/>
                <w:bCs/>
                <w:color w:val="auto"/>
                <w:sz w:val="28"/>
                <w:szCs w:val="28"/>
                <w:shd w:val="clear" w:color="auto" w:fill="FFFFFF"/>
                <w:lang w:val="en-US" w:eastAsia="en-US"/>
              </w:rPr>
              <w:t>c</w:t>
            </w:r>
            <w:r w:rsidRPr="00D12B5E">
              <w:rPr>
                <w:rFonts w:ascii="Times New Roman" w:hAnsi="Times New Roman" w:cs="Times New Roman"/>
                <w:color w:val="auto"/>
                <w:sz w:val="28"/>
                <w:szCs w:val="28"/>
                <w:lang w:val="en-US" w:eastAsia="en-US"/>
              </w:rPr>
              <w:t xml:space="preserve">ác </w:t>
            </w:r>
            <w:r w:rsidRPr="00D12B5E">
              <w:rPr>
                <w:rFonts w:ascii="Times New Roman" w:eastAsia="Calibri" w:hAnsi="Times New Roman" w:cs="Times New Roman"/>
                <w:color w:val="auto"/>
                <w:sz w:val="28"/>
                <w:szCs w:val="28"/>
                <w:lang w:val="en-US" w:eastAsia="en-US"/>
              </w:rPr>
              <w:t>sở, ban, ngành,</w:t>
            </w:r>
            <w:r w:rsidRPr="00D12B5E">
              <w:rPr>
                <w:rFonts w:ascii="Times New Roman" w:hAnsi="Times New Roman" w:cs="Times New Roman"/>
                <w:color w:val="auto"/>
                <w:sz w:val="28"/>
                <w:szCs w:val="28"/>
                <w:lang w:val="en-US" w:eastAsia="en-US"/>
              </w:rPr>
              <w:t xml:space="preserve"> </w:t>
            </w:r>
            <w:r w:rsidRPr="00D12B5E">
              <w:rPr>
                <w:rFonts w:ascii="Times New Roman" w:eastAsia="Calibri" w:hAnsi="Times New Roman" w:cs="Times New Roman"/>
                <w:color w:val="auto"/>
                <w:sz w:val="28"/>
                <w:szCs w:val="28"/>
                <w:lang w:val="en-US" w:eastAsia="en-US"/>
              </w:rPr>
              <w:t>Mặt trận Tổ quốc Việt Nam Thành phố và các tổ chức chính trị - xã hội của Thành phố;</w:t>
            </w:r>
            <w:r w:rsidRPr="00D12B5E">
              <w:rPr>
                <w:rFonts w:ascii="Times New Roman" w:hAnsi="Times New Roman" w:cs="Times New Roman"/>
                <w:color w:val="auto"/>
                <w:sz w:val="28"/>
                <w:szCs w:val="28"/>
                <w:lang w:val="en-US" w:eastAsia="en-US"/>
              </w:rPr>
              <w:t xml:space="preserve"> các xã, phường, đặc khu; đ</w:t>
            </w:r>
            <w:r w:rsidRPr="00D12B5E">
              <w:rPr>
                <w:rFonts w:ascii="Times New Roman" w:hAnsi="Times New Roman" w:cs="Times New Roman"/>
                <w:bCs/>
                <w:color w:val="auto"/>
                <w:sz w:val="28"/>
                <w:szCs w:val="28"/>
                <w:lang w:val="en-US" w:eastAsia="en-US"/>
              </w:rPr>
              <w:t>ồng thời đề xuất tăng thêm 30%.</w:t>
            </w:r>
          </w:p>
          <w:p w14:paraId="66ADABE9" w14:textId="77777777" w:rsidR="00FF2866" w:rsidRPr="00D12B5E" w:rsidRDefault="00FF2866" w:rsidP="00FF2866">
            <w:pPr>
              <w:widowControl/>
              <w:spacing w:before="120" w:after="120"/>
              <w:ind w:firstLine="709"/>
              <w:jc w:val="both"/>
              <w:rPr>
                <w:rFonts w:ascii="Times New Roman" w:hAnsi="Times New Roman" w:cs="Times New Roman"/>
                <w:color w:val="auto"/>
                <w:sz w:val="28"/>
                <w:szCs w:val="28"/>
                <w:lang w:val="en-US" w:eastAsia="en-US"/>
              </w:rPr>
            </w:pPr>
            <w:r w:rsidRPr="00D12B5E">
              <w:rPr>
                <w:rFonts w:ascii="Times New Roman" w:hAnsi="Times New Roman" w:cs="Times New Roman"/>
                <w:color w:val="auto"/>
                <w:sz w:val="28"/>
                <w:szCs w:val="28"/>
                <w:lang w:val="en-US" w:eastAsia="en-US"/>
              </w:rPr>
              <w:t>+ Thuyết minh cơ sở, lý do, sự cần thiết đề xuất tăng mức chi:</w:t>
            </w:r>
          </w:p>
          <w:p w14:paraId="2FA8EA9A" w14:textId="77777777" w:rsidR="00FF2866" w:rsidRPr="00D12B5E" w:rsidRDefault="00FF2866" w:rsidP="00FF2866">
            <w:pPr>
              <w:widowControl/>
              <w:spacing w:before="120" w:after="120"/>
              <w:ind w:firstLine="709"/>
              <w:jc w:val="both"/>
              <w:rPr>
                <w:rFonts w:ascii="Times New Roman" w:hAnsi="Times New Roman" w:cs="Times New Roman"/>
                <w:color w:val="auto"/>
                <w:sz w:val="28"/>
                <w:szCs w:val="28"/>
                <w:lang w:val="en-US" w:eastAsia="en-US"/>
              </w:rPr>
            </w:pPr>
            <w:r w:rsidRPr="00D12B5E">
              <w:rPr>
                <w:rFonts w:ascii="Times New Roman" w:hAnsi="Times New Roman" w:cs="Times New Roman"/>
                <w:i/>
                <w:iCs/>
                <w:color w:val="auto"/>
                <w:sz w:val="28"/>
                <w:szCs w:val="28"/>
                <w:u w:val="single"/>
                <w:lang w:val="en-US" w:eastAsia="en-US"/>
              </w:rPr>
              <w:t>Về cơ sở chính trị</w:t>
            </w:r>
            <w:r w:rsidRPr="00D12B5E">
              <w:rPr>
                <w:rFonts w:ascii="Times New Roman" w:hAnsi="Times New Roman" w:cs="Times New Roman"/>
                <w:i/>
                <w:iCs/>
                <w:color w:val="auto"/>
                <w:sz w:val="28"/>
                <w:szCs w:val="28"/>
                <w:lang w:val="en-US" w:eastAsia="en-US"/>
              </w:rPr>
              <w:t xml:space="preserve">: </w:t>
            </w:r>
            <w:r w:rsidRPr="00D12B5E">
              <w:rPr>
                <w:rFonts w:ascii="Times New Roman" w:hAnsi="Times New Roman" w:cs="Times New Roman"/>
                <w:color w:val="auto"/>
                <w:sz w:val="28"/>
                <w:szCs w:val="28"/>
                <w:lang w:val="en-US" w:eastAsia="en-US"/>
              </w:rPr>
              <w:t xml:space="preserve">Ngày 07 tháng 01 năm 2026, Bộ Chính trị ban hành Nghị quyết số 80-NQ/TW “Về phát triển văn hóa Việt Nam”, thể hiện bước phát triển về tư duy lý luận và phương thức lãnh đạo của Đảng ta trong lĩnh vực văn hóa, đáp ứng yêu cầu phát triển xứng tầm với nền văn hóa Việt Nam trong kỷ nguyên mới; xác định đầu tư cho văn hóa là đầu tư cho phát triển bền vững đất nước, cho tương lai của dân tộc. Nội hàm của Nghị quyết 80 nêu bật 5 giá trị cốt lõi, đó là: (1) Văn hóa là nền tảng tinh thần của xã hội, là sức mạnh nội sinh của phát triển đất nước; (2) Xây dựng con người Việt Nam phát triển toàn diện, có lý tưởng, bản lĩnh, đạo đức, lối sống lành mạnh, ý thức công dân và tinh thần trách nhiệm cao đối với xã hội; (3) Phát huy giá trị truyền thống dân tộc kết hợp với tinh hoa văn </w:t>
            </w:r>
            <w:r w:rsidRPr="00D12B5E">
              <w:rPr>
                <w:rFonts w:ascii="Times New Roman" w:hAnsi="Times New Roman" w:cs="Times New Roman"/>
                <w:color w:val="auto"/>
                <w:sz w:val="28"/>
                <w:szCs w:val="28"/>
                <w:lang w:val="en-US" w:eastAsia="en-US"/>
              </w:rPr>
              <w:lastRenderedPageBreak/>
              <w:t xml:space="preserve">hóa nhân loại, chủ động hội nhập quốc tế về văn hóa; (4) Xây dựng môi trường văn hóa lành mạnh, lấy gia đình, nhà trường, cơ quan, đơn vị và cộng đồng làm nền tảng; (5) Đẩy mạnh chuyển đổi số trong lĩnh vực văn hóa, tăng cường sức đề kháng cho cán bộ, đảng viên, nhân dân trước các sản phẩm văn hóa xấu, độc hại, phản văn hóa. Một trong những chỉ tiêu quan trọng của Nghị quyết nhằm bảo đảm nguồn lực tương xứng cho phát triển văn hoá là </w:t>
            </w:r>
            <w:r w:rsidRPr="00D12B5E">
              <w:rPr>
                <w:rFonts w:ascii="Times New Roman" w:hAnsi="Times New Roman" w:cs="Times New Roman"/>
                <w:b/>
                <w:bCs/>
                <w:i/>
                <w:iCs/>
                <w:color w:val="auto"/>
                <w:sz w:val="28"/>
                <w:szCs w:val="28"/>
                <w:lang w:val="en-US" w:eastAsia="en-US"/>
              </w:rPr>
              <w:t>“Bố trí tối thiểu 2% tổng chi ngân sách nhà nước hằng năm cho văn hoá và tăng dần theo yêu cầu thực tiễn”.</w:t>
            </w:r>
            <w:r w:rsidRPr="00D12B5E">
              <w:rPr>
                <w:rFonts w:ascii="Times New Roman" w:hAnsi="Times New Roman" w:cs="Times New Roman"/>
                <w:color w:val="auto"/>
                <w:sz w:val="28"/>
                <w:szCs w:val="28"/>
                <w:lang w:val="en-US" w:eastAsia="en-US"/>
              </w:rPr>
              <w:t xml:space="preserve"> Đây là cơ sở chính trị quan trọng để đề xuất tăng chi ngân sách cho văn hóa hằng năm theo yêu cầu thực tiễn.</w:t>
            </w:r>
          </w:p>
          <w:p w14:paraId="7E3CF16E" w14:textId="77777777" w:rsidR="00FF2866" w:rsidRPr="00D12B5E" w:rsidRDefault="00FF2866" w:rsidP="00FF2866">
            <w:pPr>
              <w:widowControl/>
              <w:spacing w:before="120" w:after="120"/>
              <w:ind w:firstLine="709"/>
              <w:jc w:val="both"/>
              <w:rPr>
                <w:rFonts w:ascii="Times New Roman" w:hAnsi="Times New Roman" w:cs="Times New Roman"/>
                <w:bCs/>
                <w:color w:val="auto"/>
                <w:sz w:val="28"/>
                <w:szCs w:val="28"/>
                <w:lang w:val="en-US" w:eastAsia="en-US"/>
              </w:rPr>
            </w:pPr>
            <w:r w:rsidRPr="00D12B5E">
              <w:rPr>
                <w:rFonts w:ascii="Times New Roman" w:hAnsi="Times New Roman" w:cs="Times New Roman"/>
                <w:i/>
                <w:iCs/>
                <w:color w:val="auto"/>
                <w:sz w:val="28"/>
                <w:szCs w:val="28"/>
                <w:u w:val="single"/>
                <w:lang w:val="en-US" w:eastAsia="en-US"/>
              </w:rPr>
              <w:t>Về cơ sở thực tiễn</w:t>
            </w:r>
            <w:r w:rsidRPr="00D12B5E">
              <w:rPr>
                <w:rFonts w:ascii="Times New Roman" w:hAnsi="Times New Roman" w:cs="Times New Roman"/>
                <w:i/>
                <w:iCs/>
                <w:color w:val="auto"/>
                <w:sz w:val="28"/>
                <w:szCs w:val="28"/>
                <w:lang w:val="en-US" w:eastAsia="en-US"/>
              </w:rPr>
              <w:t xml:space="preserve">: </w:t>
            </w:r>
            <w:r w:rsidRPr="00D12B5E">
              <w:rPr>
                <w:rFonts w:ascii="Times New Roman" w:hAnsi="Times New Roman" w:cs="Times New Roman"/>
                <w:color w:val="auto"/>
                <w:sz w:val="28"/>
                <w:szCs w:val="28"/>
                <w:lang w:val="en-US" w:eastAsia="en-US"/>
              </w:rPr>
              <w:t xml:space="preserve">Xác định văn hóa là nền tảng tinh thần, là nguồn lực nội sinh quan trọng thúc đẩy phát triển kinh tế - xã hội. Thời gian qua, Thành phố Hồ Chí Minh luôn quan tâm thực hiện nhiệm vụ phát triển văn hóa và con người, không ngừng tăng cường các nguồn lực đầu tư cho sự phát triển văn hóa và con người Thành phố. Trong kỷ nguyên mới, Thành phố Hồ Chí Minh có không gian văn hóa rộng lớn, là địa phương duy nhất trong cả nước hội tụ đầy đủ 54 dân tộc anh em, kết nối giữa vùng đô thị năng động, thủ phủ công nghiệp hiện đại và cửa ngõ kinh tế biển năng động; sự phát triển hạ tầng giao thông, khoa học công nghệ cùng việc kết nối chuỗi giá trị di sản liên vùng và sự hội tụ nguồn nhân lực đa dạng, chất lượng tạo tiền đề quan trọng </w:t>
            </w:r>
            <w:r w:rsidRPr="00D12B5E">
              <w:rPr>
                <w:rFonts w:ascii="Times New Roman" w:hAnsi="Times New Roman" w:cs="Times New Roman"/>
                <w:color w:val="auto"/>
                <w:sz w:val="28"/>
                <w:szCs w:val="28"/>
                <w:lang w:val="en-US" w:eastAsia="en-US"/>
              </w:rPr>
              <w:lastRenderedPageBreak/>
              <w:t xml:space="preserve">để phát triển văn hóa. Trong bối cảnh đó, lĩnh vực văn hóa, nghệ thuật quần chúng đóng vai trò quan trọng trong xây dựng môi trường văn hóa lành mạnh, góp phần làm phong phú và đa dạng phong trào hoạt động văn hóa, văn nghệ trên địa bàn Thành phố Hồ Chí Minh, đáp ứng nhu cầu hưởng thụ của người dân. Do đó, việc đề xuất tăng mức chi giải thưởng đảm bảo mức khen thưởng tạo động lực khuyến khích, thu hút tài năng, động viên sức sáng tạo, cống hiến của đội ngũ tập thể, cá nhân trong lĩnh vực văn hóa nghệ thuật quần chúng; đồng thời xứng đáng với </w:t>
            </w:r>
            <w:r w:rsidRPr="00D12B5E">
              <w:rPr>
                <w:rFonts w:ascii="Times New Roman" w:hAnsi="Times New Roman" w:cs="Times New Roman"/>
                <w:bCs/>
                <w:color w:val="auto"/>
                <w:sz w:val="28"/>
                <w:szCs w:val="28"/>
                <w:lang w:val="en-US" w:eastAsia="en-US"/>
              </w:rPr>
              <w:t>tính chất phức tạp, đòi hỏi sự đầu tư, sáng tạo trong lĩnh vực văn hóa, nghệ thuật, phù hợp với tình hình thực tế, quy mô tổ chức trên địa bàn Thành phố Hồ Chí Minh trong thời kỳ mới.</w:t>
            </w:r>
          </w:p>
          <w:p w14:paraId="030700DA" w14:textId="77777777" w:rsidR="00FF2866" w:rsidRPr="00D12B5E" w:rsidRDefault="00FF2866" w:rsidP="00FF2866">
            <w:pPr>
              <w:widowControl/>
              <w:spacing w:before="120" w:after="120"/>
              <w:ind w:firstLine="709"/>
              <w:jc w:val="both"/>
              <w:rPr>
                <w:rFonts w:ascii="Times New Roman" w:hAnsi="Times New Roman" w:cs="Times New Roman"/>
                <w:bCs/>
                <w:i/>
                <w:iCs/>
                <w:color w:val="auto"/>
                <w:sz w:val="28"/>
                <w:szCs w:val="28"/>
                <w:u w:val="single"/>
                <w:lang w:val="en-US" w:eastAsia="en-US"/>
              </w:rPr>
            </w:pPr>
            <w:r w:rsidRPr="00D12B5E">
              <w:rPr>
                <w:rFonts w:ascii="Times New Roman" w:hAnsi="Times New Roman" w:cs="Times New Roman"/>
                <w:bCs/>
                <w:i/>
                <w:iCs/>
                <w:color w:val="auto"/>
                <w:sz w:val="28"/>
                <w:szCs w:val="28"/>
                <w:u w:val="single"/>
                <w:lang w:val="en-US" w:eastAsia="en-US"/>
              </w:rPr>
              <w:t>So sánh đối chiếu với mức chi của các giải thưởng tương đương:</w:t>
            </w:r>
          </w:p>
          <w:p w14:paraId="3EB85049" w14:textId="77777777" w:rsidR="00423563" w:rsidRPr="00D12B5E" w:rsidRDefault="00FF2866" w:rsidP="00FF2866">
            <w:pPr>
              <w:widowControl/>
              <w:spacing w:before="120" w:after="120"/>
              <w:ind w:firstLine="709"/>
              <w:jc w:val="both"/>
              <w:rPr>
                <w:rFonts w:ascii="Times New Roman" w:hAnsi="Times New Roman" w:cs="Times New Roman"/>
                <w:bCs/>
                <w:color w:val="auto"/>
                <w:sz w:val="28"/>
                <w:szCs w:val="28"/>
                <w:lang w:val="en-US" w:eastAsia="en-US"/>
              </w:rPr>
            </w:pPr>
            <w:r w:rsidRPr="00D12B5E">
              <w:rPr>
                <w:rFonts w:ascii="Times New Roman" w:hAnsi="Times New Roman" w:cs="Times New Roman"/>
                <w:bCs/>
                <w:color w:val="auto"/>
                <w:sz w:val="28"/>
                <w:szCs w:val="28"/>
                <w:lang w:val="en-US" w:eastAsia="en-US"/>
              </w:rPr>
              <w:t xml:space="preserve">Sau khi sáp nhập năm 2025, quy mô cấp xã của Thành phố Hồ Chí Minh (bao gồm cả các vùng sáp nhập mới từ Bình Dương và Bà Rịa - Vũng Tàu) được tổ chức lại với 168 đơn vị hành chính cấp xã, bao gồm 113 phường, 54 xã và 01 đặc khu (Côn Đảo). Quy mô dân số và diện tích của các phường, xã, đặc khu mới lớn hơn, có những nơi đạt mật độ dân số rất cao. Với quy mô lớn hơn, các cuộc thi, hội thi, hội diễn, liên hoan trong lĩnh vực văn hóa, nghệ thuật quần chúng cấp xã hiện nay sẽ thu hút lực lượng tham gia đông hơn, phạm vi mở rộng, yêu cầu về chất lượng dàn dựng, nội dung và hình thức </w:t>
            </w:r>
            <w:r w:rsidRPr="00D12B5E">
              <w:rPr>
                <w:rFonts w:ascii="Times New Roman" w:hAnsi="Times New Roman" w:cs="Times New Roman"/>
                <w:bCs/>
                <w:color w:val="auto"/>
                <w:sz w:val="28"/>
                <w:szCs w:val="28"/>
                <w:lang w:val="en-US" w:eastAsia="en-US"/>
              </w:rPr>
              <w:lastRenderedPageBreak/>
              <w:t xml:space="preserve">biểu diễn ngày càng cao. Bảng so sánh cho thấy, mức chi các giải thưởng trong lĩnh vực văn hóa, nghệ thuật quần chúng cấp xã (mới) nếu không đề xuất tăng 30% thì thấp hơn mức chi giải thưởng của các cuộc thi tìm hiểu pháp luật cấp xã (cũ). Do đó, việc đề xuất tăng 30% mức chi các giải thưởng trong lĩnh vực văn hóa, nghệ thuật quần chúng (giải cá nhân) là cần thiết nhằm đảm bảo phù hợp với quy mô đơn vị hành chính sau sáp nhập, tăng cường động lực, khuyến khích phong trào văn hóa, nghệ thuật quần chúng phát triển, phù hợp với điều kiện thực tiễn và mặt bằng chi phí hiện nay. Sau khi tăng 30% thì mức chi các giải thưởng trong lĩnh vực văn hóa, nghệ thuật quần chúng (giải cá nhân) vẫn đảm bảo không vượt quá mức chi giải thưởng của các cuộc thi tìm hiểu pháp luật cấp huyện (cũ). </w:t>
            </w:r>
          </w:p>
          <w:p w14:paraId="3FECD6FD" w14:textId="35C170C3" w:rsidR="00E07B7F" w:rsidRPr="00D12B5E" w:rsidRDefault="00E07B7F" w:rsidP="00FF2866">
            <w:pPr>
              <w:widowControl/>
              <w:spacing w:before="120" w:after="120"/>
              <w:ind w:firstLine="709"/>
              <w:jc w:val="both"/>
              <w:rPr>
                <w:rFonts w:ascii="Times New Roman" w:hAnsi="Times New Roman" w:cs="Times New Roman"/>
                <w:bCs/>
                <w:color w:val="auto"/>
                <w:sz w:val="28"/>
                <w:szCs w:val="28"/>
                <w:lang w:val="en-US" w:eastAsia="en-US"/>
              </w:rPr>
            </w:pPr>
            <w:r w:rsidRPr="00D12B5E">
              <w:rPr>
                <w:rFonts w:ascii="Times New Roman" w:hAnsi="Times New Roman" w:cs="Times New Roman"/>
                <w:bCs/>
                <w:color w:val="auto"/>
                <w:sz w:val="28"/>
                <w:szCs w:val="28"/>
                <w:lang w:val="en-US" w:eastAsia="en-US"/>
              </w:rPr>
              <w:t xml:space="preserve">- Về cơ cấu giải thưởng, quy định số cuộc tổ chức tối đa: Nghị quyết đã bổ sung cơ cấu giải thưởng, quy định số cuộc tổ chức tối đa làm cơ sở để các đơn vị, địa phương xây dựng kế hoạch, dự trù kinh phí chi tiết khi tổ chức các </w:t>
            </w:r>
            <w:r w:rsidR="00D12B5E" w:rsidRPr="00D12B5E">
              <w:rPr>
                <w:rFonts w:ascii="Times New Roman" w:hAnsi="Times New Roman" w:cs="Times New Roman"/>
                <w:bCs/>
                <w:color w:val="auto"/>
                <w:sz w:val="28"/>
                <w:szCs w:val="28"/>
                <w:lang w:val="en-US" w:eastAsia="en-US"/>
              </w:rPr>
              <w:t>cuộc thi, hội thi, liên hoan, hội diễn…trong lĩnh vực văn hóa, nghệ thuật quần chúng trên địa bàn Thành phố.</w:t>
            </w:r>
          </w:p>
        </w:tc>
      </w:tr>
      <w:tr w:rsidR="00D12B5E" w:rsidRPr="00D12B5E" w14:paraId="3389931A" w14:textId="77777777" w:rsidTr="00134210">
        <w:tc>
          <w:tcPr>
            <w:tcW w:w="3823" w:type="dxa"/>
            <w:shd w:val="clear" w:color="auto" w:fill="FFFFFF"/>
          </w:tcPr>
          <w:p w14:paraId="3BB7C653" w14:textId="77777777" w:rsidR="00423563" w:rsidRPr="00D12B5E" w:rsidRDefault="00423563" w:rsidP="00423563">
            <w:pPr>
              <w:spacing w:before="60" w:after="60"/>
              <w:jc w:val="both"/>
              <w:rPr>
                <w:rFonts w:ascii="Times New Roman" w:hAnsi="Times New Roman" w:cs="Times New Roman"/>
                <w:color w:val="auto"/>
                <w:sz w:val="28"/>
                <w:szCs w:val="28"/>
              </w:rPr>
            </w:pPr>
            <w:r w:rsidRPr="00D12B5E">
              <w:rPr>
                <w:rFonts w:ascii="Times New Roman" w:hAnsi="Times New Roman" w:cs="Times New Roman"/>
                <w:b/>
                <w:bCs/>
                <w:color w:val="auto"/>
                <w:sz w:val="28"/>
                <w:szCs w:val="28"/>
              </w:rPr>
              <w:lastRenderedPageBreak/>
              <w:t xml:space="preserve">Điều 2. </w:t>
            </w:r>
            <w:r w:rsidRPr="00D12B5E">
              <w:rPr>
                <w:rFonts w:ascii="Times New Roman" w:hAnsi="Times New Roman" w:cs="Times New Roman"/>
                <w:bCs/>
                <w:color w:val="auto"/>
                <w:sz w:val="28"/>
                <w:szCs w:val="28"/>
                <w:lang w:val="es-ES"/>
              </w:rPr>
              <w:t xml:space="preserve">Nguồn kinh phí thực hiện (tại Quy định kèm theo </w:t>
            </w:r>
            <w:r w:rsidRPr="00D12B5E">
              <w:rPr>
                <w:rFonts w:ascii="Times New Roman" w:hAnsi="Times New Roman" w:cs="Times New Roman"/>
                <w:color w:val="auto"/>
                <w:sz w:val="28"/>
                <w:szCs w:val="28"/>
                <w:lang w:val="en-US"/>
              </w:rPr>
              <w:t>Nghị quyết số 30/2024/NQ-HĐND</w:t>
            </w:r>
            <w:r w:rsidRPr="00D12B5E">
              <w:rPr>
                <w:rFonts w:ascii="Times New Roman" w:hAnsi="Times New Roman" w:cs="Times New Roman"/>
                <w:bCs/>
                <w:color w:val="auto"/>
                <w:sz w:val="28"/>
                <w:szCs w:val="28"/>
                <w:lang w:val="es-ES"/>
              </w:rPr>
              <w:t>)</w:t>
            </w:r>
          </w:p>
          <w:p w14:paraId="144042C9"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t>1. Ngân sách nhà nước.</w:t>
            </w:r>
          </w:p>
          <w:p w14:paraId="004ECA54"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lastRenderedPageBreak/>
              <w:t>2. Nguồn thu phí được để lại theo quy định của pháp luật về phí, lệ phí.</w:t>
            </w:r>
          </w:p>
          <w:p w14:paraId="69B4998F"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t>3. Nguồn thu từ hoạt động sự nghiệp, dịch vụ của đơn vị sự nghiệp công lập; nguồn thu bán vé xem chương trình nghệ thuật, tài trợ, quảng cáo, bán bản quyền phát thanh, truyền hình.</w:t>
            </w:r>
          </w:p>
          <w:p w14:paraId="5073E0C3"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t xml:space="preserve">4. Nguồn kinh phí khác theo quy định của pháp luật. </w:t>
            </w:r>
          </w:p>
        </w:tc>
        <w:tc>
          <w:tcPr>
            <w:tcW w:w="4677" w:type="dxa"/>
            <w:shd w:val="clear" w:color="auto" w:fill="FFFFFF"/>
          </w:tcPr>
          <w:p w14:paraId="08826A97" w14:textId="77777777" w:rsidR="00423563" w:rsidRPr="00D12B5E" w:rsidRDefault="00423563" w:rsidP="00423563">
            <w:pPr>
              <w:spacing w:before="120" w:after="120" w:line="360" w:lineRule="exact"/>
              <w:ind w:right="204"/>
              <w:jc w:val="both"/>
              <w:rPr>
                <w:rFonts w:ascii="Times New Roman" w:hAnsi="Times New Roman" w:cs="Times New Roman"/>
                <w:b/>
                <w:bCs/>
                <w:color w:val="auto"/>
                <w:sz w:val="28"/>
                <w:szCs w:val="28"/>
              </w:rPr>
            </w:pPr>
            <w:r w:rsidRPr="00D12B5E">
              <w:rPr>
                <w:rFonts w:ascii="Times New Roman" w:hAnsi="Times New Roman" w:cs="Times New Roman"/>
                <w:b/>
                <w:bCs/>
                <w:color w:val="auto"/>
                <w:sz w:val="28"/>
                <w:szCs w:val="28"/>
              </w:rPr>
              <w:lastRenderedPageBreak/>
              <w:t>Điều 3. Nguồn kinh phí thực hiện</w:t>
            </w:r>
          </w:p>
          <w:p w14:paraId="0E3FDCDA" w14:textId="77777777" w:rsidR="00423563" w:rsidRPr="00D12B5E" w:rsidRDefault="00423563" w:rsidP="00423563">
            <w:pPr>
              <w:spacing w:before="120" w:after="120" w:line="360" w:lineRule="exact"/>
              <w:ind w:leftChars="8" w:left="19" w:right="204"/>
              <w:jc w:val="both"/>
              <w:rPr>
                <w:rFonts w:ascii="Times New Roman" w:hAnsi="Times New Roman" w:cs="Times New Roman"/>
                <w:color w:val="auto"/>
                <w:sz w:val="28"/>
                <w:szCs w:val="28"/>
              </w:rPr>
            </w:pPr>
            <w:r w:rsidRPr="00D12B5E">
              <w:rPr>
                <w:rFonts w:ascii="Times New Roman" w:hAnsi="Times New Roman" w:cs="Times New Roman"/>
                <w:color w:val="auto"/>
                <w:sz w:val="28"/>
                <w:szCs w:val="28"/>
              </w:rPr>
              <w:t>Nguồn kinh phí thực hiện từ ngân sách nhà nước theo phân cấp ngân sách hiện hành.</w:t>
            </w:r>
          </w:p>
        </w:tc>
        <w:tc>
          <w:tcPr>
            <w:tcW w:w="5954" w:type="dxa"/>
            <w:shd w:val="clear" w:color="auto" w:fill="FFFFFF"/>
          </w:tcPr>
          <w:p w14:paraId="4308614D"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Kế thừa và điều chỉnh để phù hợp với quy định của Luật ngân sách hiện hành.</w:t>
            </w:r>
          </w:p>
        </w:tc>
      </w:tr>
      <w:tr w:rsidR="00D12B5E" w:rsidRPr="00D12B5E" w14:paraId="1CA5F18C" w14:textId="77777777" w:rsidTr="00134210">
        <w:tc>
          <w:tcPr>
            <w:tcW w:w="3823" w:type="dxa"/>
            <w:shd w:val="clear" w:color="auto" w:fill="FFFFFF"/>
          </w:tcPr>
          <w:p w14:paraId="3FDD14E7" w14:textId="77777777" w:rsidR="00423563" w:rsidRPr="00D12B5E" w:rsidRDefault="00423563" w:rsidP="00423563">
            <w:pPr>
              <w:spacing w:before="60" w:after="60"/>
              <w:jc w:val="both"/>
              <w:rPr>
                <w:rFonts w:ascii="Times New Roman" w:hAnsi="Times New Roman" w:cs="Times New Roman"/>
                <w:color w:val="auto"/>
                <w:sz w:val="28"/>
                <w:szCs w:val="28"/>
              </w:rPr>
            </w:pPr>
          </w:p>
        </w:tc>
        <w:tc>
          <w:tcPr>
            <w:tcW w:w="4677" w:type="dxa"/>
            <w:shd w:val="clear" w:color="auto" w:fill="FFFFFF"/>
          </w:tcPr>
          <w:p w14:paraId="1F77AE33" w14:textId="77777777" w:rsidR="00423563" w:rsidRPr="00D12B5E" w:rsidRDefault="00423563" w:rsidP="00423563">
            <w:pPr>
              <w:shd w:val="clear" w:color="auto" w:fill="FFFFFF"/>
              <w:spacing w:before="120"/>
              <w:jc w:val="both"/>
              <w:outlineLvl w:val="3"/>
              <w:rPr>
                <w:rFonts w:ascii="Times New Roman" w:hAnsi="Times New Roman" w:cs="Times New Roman"/>
                <w:b/>
                <w:bCs/>
                <w:color w:val="auto"/>
                <w:sz w:val="28"/>
                <w:szCs w:val="28"/>
                <w:lang w:val="en-GB" w:eastAsia="en-US"/>
              </w:rPr>
            </w:pPr>
            <w:r w:rsidRPr="00D12B5E">
              <w:rPr>
                <w:rFonts w:ascii="Times New Roman" w:hAnsi="Times New Roman" w:cs="Times New Roman"/>
                <w:b/>
                <w:bCs/>
                <w:color w:val="auto"/>
                <w:sz w:val="28"/>
                <w:szCs w:val="28"/>
                <w:lang w:val="en-US"/>
              </w:rPr>
              <w:t xml:space="preserve">Bổ sung </w:t>
            </w:r>
            <w:r w:rsidRPr="00D12B5E">
              <w:rPr>
                <w:rFonts w:ascii="Times New Roman" w:hAnsi="Times New Roman" w:cs="Times New Roman"/>
                <w:b/>
                <w:bCs/>
                <w:color w:val="auto"/>
                <w:sz w:val="28"/>
                <w:szCs w:val="28"/>
                <w:lang w:eastAsia="en-US"/>
              </w:rPr>
              <w:t xml:space="preserve">Điều </w:t>
            </w:r>
            <w:r w:rsidRPr="00D12B5E">
              <w:rPr>
                <w:rFonts w:ascii="Times New Roman" w:hAnsi="Times New Roman" w:cs="Times New Roman"/>
                <w:b/>
                <w:bCs/>
                <w:color w:val="auto"/>
                <w:sz w:val="28"/>
                <w:szCs w:val="28"/>
                <w:lang w:val="en-US" w:eastAsia="en-US"/>
              </w:rPr>
              <w:t>5</w:t>
            </w:r>
            <w:r w:rsidRPr="00D12B5E">
              <w:rPr>
                <w:rFonts w:ascii="Times New Roman" w:hAnsi="Times New Roman" w:cs="Times New Roman"/>
                <w:b/>
                <w:bCs/>
                <w:color w:val="auto"/>
                <w:sz w:val="28"/>
                <w:szCs w:val="28"/>
                <w:lang w:eastAsia="en-US"/>
              </w:rPr>
              <w:t>.</w:t>
            </w:r>
            <w:r w:rsidRPr="00D12B5E">
              <w:rPr>
                <w:rFonts w:ascii="Times New Roman" w:hAnsi="Times New Roman" w:cs="Times New Roman"/>
                <w:b/>
                <w:bCs/>
                <w:color w:val="auto"/>
                <w:sz w:val="28"/>
                <w:szCs w:val="28"/>
                <w:lang w:val="en-GB" w:eastAsia="en-US"/>
              </w:rPr>
              <w:t xml:space="preserve"> Điều khoản thi hành</w:t>
            </w:r>
          </w:p>
          <w:p w14:paraId="4D628A8E" w14:textId="77777777" w:rsidR="00423563" w:rsidRPr="00D12B5E" w:rsidRDefault="00423563" w:rsidP="00423563">
            <w:pPr>
              <w:widowControl/>
              <w:shd w:val="clear" w:color="auto" w:fill="FFFFFF"/>
              <w:spacing w:before="120"/>
              <w:jc w:val="both"/>
              <w:outlineLvl w:val="3"/>
              <w:rPr>
                <w:rFonts w:ascii="Times New Roman" w:hAnsi="Times New Roman" w:cs="Times New Roman"/>
                <w:bCs/>
                <w:color w:val="auto"/>
                <w:sz w:val="28"/>
                <w:szCs w:val="28"/>
                <w:lang w:val="en-GB" w:eastAsia="en-US"/>
              </w:rPr>
            </w:pPr>
            <w:r w:rsidRPr="00D12B5E">
              <w:rPr>
                <w:rFonts w:ascii="Times New Roman" w:hAnsi="Times New Roman" w:cs="Times New Roman"/>
                <w:bCs/>
                <w:color w:val="auto"/>
                <w:sz w:val="28"/>
                <w:szCs w:val="28"/>
                <w:lang w:val="en-GB" w:eastAsia="en-US"/>
              </w:rPr>
              <w:t>1. Nghị quyết này có hiệu lực thi hành từ ngày …. tháng ….. năm 2026.</w:t>
            </w:r>
          </w:p>
          <w:p w14:paraId="586A53FC" w14:textId="77777777" w:rsidR="00423563" w:rsidRPr="00D12B5E" w:rsidRDefault="00423563" w:rsidP="00423563">
            <w:pPr>
              <w:widowControl/>
              <w:shd w:val="clear" w:color="auto" w:fill="FFFFFF"/>
              <w:spacing w:before="120"/>
              <w:jc w:val="both"/>
              <w:outlineLvl w:val="3"/>
              <w:rPr>
                <w:rFonts w:ascii="Times New Roman" w:hAnsi="Times New Roman" w:cs="Times New Roman"/>
                <w:bCs/>
                <w:color w:val="auto"/>
                <w:sz w:val="28"/>
                <w:szCs w:val="28"/>
                <w:lang w:val="en-US" w:eastAsia="en-US"/>
              </w:rPr>
            </w:pPr>
            <w:r w:rsidRPr="00D12B5E">
              <w:rPr>
                <w:rFonts w:ascii="Times New Roman" w:hAnsi="Times New Roman" w:cs="Times New Roman"/>
                <w:bCs/>
                <w:color w:val="auto"/>
                <w:sz w:val="28"/>
                <w:szCs w:val="28"/>
                <w:lang w:val="en-US" w:eastAsia="en-US"/>
              </w:rPr>
              <w:t>2. Nghị quyết số 30/2024/NQ-HĐND ngày 12 tháng 12 năm 2024 của Hội đồng nhân dân tỉnh Bình Dương quy định về chế độ hỗ trợ, chi tiêu tài chính và định mức chi đối với lĩnh vực văn hóa trên địa bàn tỉnh Bình Dương hết hiệu lực kể từ ngày Nghị quyết này có hiệu lực thi hành.</w:t>
            </w:r>
          </w:p>
          <w:p w14:paraId="0224C1B1" w14:textId="77777777" w:rsidR="00423563" w:rsidRPr="00D12B5E" w:rsidRDefault="00423563" w:rsidP="009C3FF0">
            <w:pPr>
              <w:widowControl/>
              <w:shd w:val="clear" w:color="auto" w:fill="FFFFFF"/>
              <w:spacing w:before="120"/>
              <w:jc w:val="both"/>
              <w:outlineLvl w:val="3"/>
              <w:rPr>
                <w:rFonts w:ascii="Times New Roman" w:hAnsi="Times New Roman" w:cs="Times New Roman"/>
                <w:bCs/>
                <w:i/>
                <w:color w:val="auto"/>
                <w:sz w:val="28"/>
                <w:szCs w:val="28"/>
                <w:lang w:val="en-US" w:eastAsia="en-US"/>
              </w:rPr>
            </w:pPr>
            <w:r w:rsidRPr="00D12B5E">
              <w:rPr>
                <w:rFonts w:ascii="Times New Roman" w:hAnsi="Times New Roman" w:cs="Times New Roman"/>
                <w:bCs/>
                <w:i/>
                <w:color w:val="auto"/>
                <w:sz w:val="28"/>
                <w:szCs w:val="28"/>
                <w:lang w:val="en-US" w:eastAsia="en-US"/>
              </w:rPr>
              <w:t>Nghị quyết này được Hội đồng nhân dân Thành phố Hồ Chí Minh khóa X, Kỳ họp thứ………..thông qua ngày ...... tháng..... năm 2026./.</w:t>
            </w:r>
          </w:p>
        </w:tc>
        <w:tc>
          <w:tcPr>
            <w:tcW w:w="5954" w:type="dxa"/>
            <w:shd w:val="clear" w:color="auto" w:fill="FFFFFF"/>
          </w:tcPr>
          <w:p w14:paraId="5727604B"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color w:val="auto"/>
                <w:sz w:val="28"/>
                <w:szCs w:val="28"/>
                <w:lang w:val="en-US"/>
              </w:rPr>
              <w:t>Bổ sung nội dung phù hợp với quy định hiện hành</w:t>
            </w:r>
          </w:p>
        </w:tc>
      </w:tr>
      <w:tr w:rsidR="00D12B5E" w:rsidRPr="00D12B5E" w14:paraId="4610A789" w14:textId="77777777" w:rsidTr="00134210">
        <w:tc>
          <w:tcPr>
            <w:tcW w:w="14454" w:type="dxa"/>
            <w:gridSpan w:val="3"/>
            <w:shd w:val="clear" w:color="auto" w:fill="FFFFFF"/>
          </w:tcPr>
          <w:p w14:paraId="2530393D"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b/>
                <w:bCs/>
                <w:color w:val="auto"/>
                <w:sz w:val="28"/>
                <w:szCs w:val="28"/>
                <w:lang w:val="en-US"/>
              </w:rPr>
              <w:t xml:space="preserve">CÁC CHÍNH SÁCH ĐỀ NGHỊ KHÔNG ĐƯA VÀO NỘI DUNG CỦA NGHỊ QUYẾT MỚI THUỘC LĨNH VỰC VĂN </w:t>
            </w:r>
            <w:r w:rsidRPr="00D12B5E">
              <w:rPr>
                <w:rFonts w:ascii="Times New Roman" w:hAnsi="Times New Roman" w:cs="Times New Roman"/>
                <w:b/>
                <w:bCs/>
                <w:color w:val="auto"/>
                <w:sz w:val="28"/>
                <w:szCs w:val="28"/>
                <w:lang w:val="en-US"/>
              </w:rPr>
              <w:lastRenderedPageBreak/>
              <w:t>HÓA CƠ SỞ</w:t>
            </w:r>
          </w:p>
        </w:tc>
      </w:tr>
      <w:tr w:rsidR="00D12B5E" w:rsidRPr="00D12B5E" w14:paraId="6327AF51" w14:textId="77777777" w:rsidTr="00134210">
        <w:tc>
          <w:tcPr>
            <w:tcW w:w="3823" w:type="dxa"/>
            <w:shd w:val="clear" w:color="auto" w:fill="FFFFFF"/>
          </w:tcPr>
          <w:p w14:paraId="07F80C76" w14:textId="77777777" w:rsidR="00423563" w:rsidRPr="00D12B5E" w:rsidRDefault="00423563" w:rsidP="00423563">
            <w:pPr>
              <w:spacing w:before="60" w:after="60"/>
              <w:jc w:val="both"/>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lang w:val="en-US"/>
              </w:rPr>
              <w:lastRenderedPageBreak/>
              <w:t>Điều 3. Chế độ hỗ trợ tập luyện và biểu diễn đối với Đoàn biểu diễn nghệ thuật chuyên nghiệp và đối với Đội văn nghệ quần chúng tham gia tổ chức, biểu diễn, phục vụ chương trình nghệ thuật ca, múa, nhạc; các vở diễn sân khấu, hội thi, hội diễn.</w:t>
            </w:r>
          </w:p>
        </w:tc>
        <w:tc>
          <w:tcPr>
            <w:tcW w:w="4677" w:type="dxa"/>
            <w:shd w:val="clear" w:color="auto" w:fill="FFFFFF"/>
          </w:tcPr>
          <w:p w14:paraId="5202CE9A"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50BCCB94" w14:textId="77777777" w:rsidR="00423563" w:rsidRPr="00D12B5E" w:rsidRDefault="00423563" w:rsidP="00423563">
            <w:pPr>
              <w:widowControl/>
              <w:spacing w:before="120"/>
              <w:jc w:val="both"/>
              <w:rPr>
                <w:rFonts w:ascii="Times New Roman" w:hAnsi="Times New Roman" w:cs="Times New Roman"/>
                <w:bCs/>
                <w:color w:val="auto"/>
                <w:sz w:val="28"/>
                <w:szCs w:val="28"/>
                <w:lang w:val="en" w:eastAsia="en-US"/>
              </w:rPr>
            </w:pPr>
            <w:r w:rsidRPr="00D12B5E">
              <w:rPr>
                <w:rFonts w:ascii="Times New Roman" w:hAnsi="Times New Roman" w:cs="Times New Roman"/>
                <w:bCs/>
                <w:color w:val="auto"/>
                <w:sz w:val="28"/>
                <w:szCs w:val="28"/>
                <w:lang w:val="en" w:eastAsia="en-US"/>
              </w:rPr>
              <w:t xml:space="preserve">Việc đề xuất không tiếp tục thực hiện chính sách hỗ trợ này đảm bảo phù hợp với quy định về chính sách tiền lương của Nghị quyết số 27-NQ/TW trên tinh thần tiết kiệm ngân sách. </w:t>
            </w:r>
          </w:p>
          <w:p w14:paraId="75DABA3D" w14:textId="77777777" w:rsidR="00423563" w:rsidRPr="00D12B5E" w:rsidRDefault="00423563" w:rsidP="00423563">
            <w:pPr>
              <w:spacing w:before="60" w:after="60"/>
              <w:jc w:val="both"/>
              <w:rPr>
                <w:rFonts w:ascii="Times New Roman" w:hAnsi="Times New Roman" w:cs="Times New Roman"/>
                <w:color w:val="auto"/>
                <w:sz w:val="28"/>
                <w:szCs w:val="28"/>
                <w:lang w:val="en-US"/>
              </w:rPr>
            </w:pPr>
          </w:p>
        </w:tc>
      </w:tr>
      <w:tr w:rsidR="00D12B5E" w:rsidRPr="00D12B5E" w14:paraId="547CD724" w14:textId="77777777" w:rsidTr="00134210">
        <w:tc>
          <w:tcPr>
            <w:tcW w:w="3823" w:type="dxa"/>
            <w:shd w:val="clear" w:color="auto" w:fill="FFFFFF"/>
          </w:tcPr>
          <w:p w14:paraId="047DABB1" w14:textId="77777777" w:rsidR="00423563" w:rsidRPr="00D12B5E" w:rsidRDefault="00423563" w:rsidP="00423563">
            <w:pPr>
              <w:spacing w:before="60" w:after="60"/>
              <w:jc w:val="both"/>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lang w:val="en-US"/>
              </w:rPr>
              <w:t>Điều 4. Hỗ trợ ổn định thu nhập</w:t>
            </w:r>
          </w:p>
        </w:tc>
        <w:tc>
          <w:tcPr>
            <w:tcW w:w="4677" w:type="dxa"/>
            <w:shd w:val="clear" w:color="auto" w:fill="FFFFFF"/>
          </w:tcPr>
          <w:p w14:paraId="6430630A"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2F546A40" w14:textId="77777777" w:rsidR="00423563" w:rsidRPr="00D12B5E" w:rsidRDefault="00423563" w:rsidP="00423563">
            <w:pPr>
              <w:widowControl/>
              <w:spacing w:before="120"/>
              <w:jc w:val="both"/>
              <w:rPr>
                <w:rFonts w:ascii="Times New Roman" w:hAnsi="Times New Roman" w:cs="Times New Roman"/>
                <w:b/>
                <w:bCs/>
                <w:color w:val="auto"/>
                <w:sz w:val="28"/>
                <w:szCs w:val="28"/>
                <w:lang w:val="en" w:eastAsia="en-US"/>
              </w:rPr>
            </w:pPr>
            <w:r w:rsidRPr="00D12B5E">
              <w:rPr>
                <w:rFonts w:ascii="Times New Roman" w:hAnsi="Times New Roman" w:cs="Times New Roman"/>
                <w:bCs/>
                <w:color w:val="auto"/>
                <w:sz w:val="28"/>
                <w:szCs w:val="28"/>
                <w:lang w:val="en-US" w:eastAsia="en-US"/>
              </w:rPr>
              <w:t>Đối tượng thụ hưởng của chính sách này thuộc lĩnh vực nghệ thuật chuyên nghiệp, do đó không thuộc phạm vi điều chỉnh và đối tượng áp dụng của Nghị quyết mới.</w:t>
            </w:r>
          </w:p>
        </w:tc>
      </w:tr>
      <w:tr w:rsidR="00D12B5E" w:rsidRPr="00D12B5E" w14:paraId="4E2B38D7" w14:textId="77777777" w:rsidTr="00134210">
        <w:tc>
          <w:tcPr>
            <w:tcW w:w="3823" w:type="dxa"/>
            <w:shd w:val="clear" w:color="auto" w:fill="FFFFFF"/>
          </w:tcPr>
          <w:p w14:paraId="54565B44" w14:textId="77777777" w:rsidR="00423563" w:rsidRPr="00D12B5E" w:rsidRDefault="00423563" w:rsidP="00423563">
            <w:pPr>
              <w:spacing w:before="60" w:after="60"/>
              <w:jc w:val="both"/>
              <w:rPr>
                <w:rFonts w:ascii="Times New Roman" w:hAnsi="Times New Roman" w:cs="Times New Roman"/>
                <w:b/>
                <w:bCs/>
                <w:color w:val="auto"/>
                <w:sz w:val="28"/>
                <w:szCs w:val="28"/>
                <w:lang w:val="en-US"/>
              </w:rPr>
            </w:pPr>
            <w:r w:rsidRPr="00D12B5E">
              <w:rPr>
                <w:rFonts w:ascii="Times New Roman" w:hAnsi="Times New Roman" w:cs="Times New Roman"/>
                <w:b/>
                <w:bCs/>
                <w:color w:val="auto"/>
                <w:sz w:val="28"/>
                <w:szCs w:val="28"/>
                <w:lang w:val="en-US"/>
              </w:rPr>
              <w:t>Điều 5. Hỗ trợ khen thưởng cho tập thể, cá nhân đạt thành tích xuất sắc trong các hoạt động văn hóa do Trung ương tổ chức (ngoài mức thưởng theo quy định của Trung ương)</w:t>
            </w:r>
          </w:p>
        </w:tc>
        <w:tc>
          <w:tcPr>
            <w:tcW w:w="4677" w:type="dxa"/>
            <w:shd w:val="clear" w:color="auto" w:fill="FFFFFF"/>
          </w:tcPr>
          <w:p w14:paraId="0FF81BB8"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3C4C176B" w14:textId="77777777" w:rsidR="00423563" w:rsidRPr="00D12B5E" w:rsidRDefault="00423563" w:rsidP="00423563">
            <w:pPr>
              <w:widowControl/>
              <w:spacing w:before="120"/>
              <w:jc w:val="both"/>
              <w:rPr>
                <w:rFonts w:ascii="Times New Roman" w:hAnsi="Times New Roman" w:cs="Times New Roman"/>
                <w:bCs/>
                <w:color w:val="auto"/>
                <w:sz w:val="28"/>
                <w:szCs w:val="28"/>
                <w:lang w:val="en-US" w:eastAsia="en-US"/>
              </w:rPr>
            </w:pPr>
            <w:r w:rsidRPr="00D12B5E">
              <w:rPr>
                <w:rFonts w:ascii="Times New Roman" w:hAnsi="Times New Roman" w:cs="Times New Roman"/>
                <w:bCs/>
                <w:color w:val="auto"/>
                <w:sz w:val="28"/>
                <w:szCs w:val="28"/>
                <w:lang w:val="en-US" w:eastAsia="en-US"/>
              </w:rPr>
              <w:t>Việc đề xuất không tiếp tục thực hiện chính sách này đảm bảo phù hợp với quy định của Luật Thi đua, khen thưởng. Các tập thể, cá nhân có thành tích xuất sắc trong các hoạt động văn hóa do Trung ương tổ chức thuộc đối tượng khen thưởng của Luật Thi đua, khen thưởng; có thể đề xuất Bằng khen của Ủy ban nhân dân Thành phố và được nhận tiền thưởng từ ngân sách thi đua khen thưởng hàng năm.</w:t>
            </w:r>
          </w:p>
        </w:tc>
      </w:tr>
      <w:tr w:rsidR="00D12B5E" w:rsidRPr="00D12B5E" w14:paraId="4A5F3B4C" w14:textId="77777777" w:rsidTr="00134210">
        <w:tc>
          <w:tcPr>
            <w:tcW w:w="3823" w:type="dxa"/>
            <w:shd w:val="clear" w:color="auto" w:fill="FFFFFF"/>
          </w:tcPr>
          <w:p w14:paraId="6B306931" w14:textId="77777777" w:rsidR="00423563" w:rsidRPr="00D12B5E" w:rsidRDefault="00423563" w:rsidP="00423563">
            <w:pPr>
              <w:spacing w:before="60" w:after="60"/>
              <w:jc w:val="both"/>
              <w:rPr>
                <w:rFonts w:ascii="Times New Roman" w:hAnsi="Times New Roman" w:cs="Times New Roman"/>
                <w:b/>
                <w:color w:val="auto"/>
                <w:sz w:val="28"/>
                <w:szCs w:val="28"/>
                <w:lang w:val="en-US"/>
              </w:rPr>
            </w:pPr>
            <w:r w:rsidRPr="00D12B5E">
              <w:rPr>
                <w:rFonts w:ascii="Times New Roman" w:hAnsi="Times New Roman" w:cs="Times New Roman"/>
                <w:b/>
                <w:color w:val="auto"/>
                <w:sz w:val="28"/>
                <w:szCs w:val="28"/>
              </w:rPr>
              <w:t>Điều 6. Hỗ trợ cho cán bộ trực tiếp phụ trách phòng đọc sách, báo các điểm Bưu điện văn hóa xã</w:t>
            </w:r>
          </w:p>
        </w:tc>
        <w:tc>
          <w:tcPr>
            <w:tcW w:w="4677" w:type="dxa"/>
            <w:shd w:val="clear" w:color="auto" w:fill="FFFFFF"/>
          </w:tcPr>
          <w:p w14:paraId="3B407BE1" w14:textId="77777777" w:rsidR="00423563" w:rsidRPr="00D12B5E" w:rsidRDefault="00423563" w:rsidP="00423563">
            <w:pPr>
              <w:spacing w:before="60" w:after="60"/>
              <w:jc w:val="both"/>
              <w:rPr>
                <w:rFonts w:ascii="Times New Roman" w:hAnsi="Times New Roman" w:cs="Times New Roman"/>
                <w:b/>
                <w:bCs/>
                <w:color w:val="auto"/>
                <w:sz w:val="28"/>
                <w:szCs w:val="28"/>
                <w:lang w:val="en-US"/>
              </w:rPr>
            </w:pPr>
          </w:p>
        </w:tc>
        <w:tc>
          <w:tcPr>
            <w:tcW w:w="5954" w:type="dxa"/>
            <w:shd w:val="clear" w:color="auto" w:fill="FFFFFF"/>
          </w:tcPr>
          <w:p w14:paraId="33DD42FA" w14:textId="77777777" w:rsidR="00423563" w:rsidRPr="00D12B5E" w:rsidRDefault="00423563" w:rsidP="00423563">
            <w:pPr>
              <w:spacing w:before="60" w:after="60"/>
              <w:jc w:val="both"/>
              <w:rPr>
                <w:rFonts w:ascii="Times New Roman" w:hAnsi="Times New Roman" w:cs="Times New Roman"/>
                <w:color w:val="auto"/>
                <w:sz w:val="28"/>
                <w:szCs w:val="28"/>
                <w:lang w:val="es-ES"/>
              </w:rPr>
            </w:pPr>
            <w:r w:rsidRPr="00D12B5E">
              <w:rPr>
                <w:rFonts w:ascii="Times New Roman" w:hAnsi="Times New Roman" w:cs="Times New Roman"/>
                <w:color w:val="auto"/>
                <w:sz w:val="28"/>
                <w:szCs w:val="28"/>
                <w:lang w:val="es-ES"/>
              </w:rPr>
              <w:t xml:space="preserve">Trên địa bàn tỉnh Bình Dương (cũ) hiện có 42 điểm Bưu điện văn hóa xã,  qua thống kê về việc thực hiện Nghị quyết số 30/2024/NQ-HĐND hiện các xã, phường không chi được nội dung này, do các điểm bưu điện văn hóa xã không đáp ứng được điều kiện để chi. Đối với địa bàn Thành phố Hồ Chí </w:t>
            </w:r>
            <w:r w:rsidRPr="00D12B5E">
              <w:rPr>
                <w:rFonts w:ascii="Times New Roman" w:hAnsi="Times New Roman" w:cs="Times New Roman"/>
                <w:color w:val="auto"/>
                <w:sz w:val="28"/>
                <w:szCs w:val="28"/>
                <w:lang w:val="es-ES"/>
              </w:rPr>
              <w:lastRenderedPageBreak/>
              <w:t xml:space="preserve">Minh và tỉnh Bà Rịa – Vũng Tàu (cũ) không có các điểm bưu điện văn hóa xã. </w:t>
            </w:r>
            <w:r w:rsidRPr="00D12B5E">
              <w:rPr>
                <w:rFonts w:ascii="Times New Roman" w:hAnsi="Times New Roman" w:cs="Times New Roman"/>
                <w:bCs/>
                <w:color w:val="auto"/>
                <w:sz w:val="28"/>
                <w:szCs w:val="28"/>
                <w:lang w:val="en-US"/>
              </w:rPr>
              <w:t xml:space="preserve">Nên bãi bỏ toàn </w:t>
            </w:r>
            <w:r w:rsidR="005D6F60" w:rsidRPr="00D12B5E">
              <w:rPr>
                <w:rFonts w:ascii="Times New Roman" w:hAnsi="Times New Roman" w:cs="Times New Roman"/>
                <w:color w:val="auto"/>
                <w:sz w:val="28"/>
                <w:szCs w:val="28"/>
                <w:lang w:val="en-US"/>
              </w:rPr>
              <w:t>bộ Điều 6</w:t>
            </w:r>
            <w:r w:rsidRPr="00D12B5E">
              <w:rPr>
                <w:rFonts w:ascii="Times New Roman" w:hAnsi="Times New Roman" w:cs="Times New Roman"/>
                <w:color w:val="auto"/>
                <w:sz w:val="28"/>
                <w:szCs w:val="28"/>
                <w:lang w:val="en-US"/>
              </w:rPr>
              <w:t xml:space="preserve"> của Nghị quyết số 30/2024/NQ-HĐND là hoàn toàn phù hợp với tình hình thực tế sau sáp nhập.</w:t>
            </w:r>
          </w:p>
        </w:tc>
      </w:tr>
      <w:tr w:rsidR="00D12B5E" w:rsidRPr="00D12B5E" w14:paraId="60629BA4" w14:textId="77777777" w:rsidTr="00134210">
        <w:tc>
          <w:tcPr>
            <w:tcW w:w="3823" w:type="dxa"/>
            <w:shd w:val="clear" w:color="auto" w:fill="FFFFFF"/>
          </w:tcPr>
          <w:p w14:paraId="4272C194" w14:textId="77777777" w:rsidR="00423563" w:rsidRPr="00D12B5E" w:rsidRDefault="00423563" w:rsidP="00423563">
            <w:pPr>
              <w:spacing w:before="60" w:after="60"/>
              <w:jc w:val="both"/>
              <w:rPr>
                <w:rFonts w:ascii="Times New Roman" w:hAnsi="Times New Roman" w:cs="Times New Roman"/>
                <w:b/>
                <w:color w:val="auto"/>
                <w:sz w:val="28"/>
                <w:szCs w:val="28"/>
              </w:rPr>
            </w:pPr>
            <w:r w:rsidRPr="00D12B5E">
              <w:rPr>
                <w:rFonts w:ascii="Times New Roman" w:hAnsi="Times New Roman" w:cs="Times New Roman"/>
                <w:b/>
                <w:color w:val="auto"/>
                <w:sz w:val="28"/>
                <w:szCs w:val="28"/>
              </w:rPr>
              <w:lastRenderedPageBreak/>
              <w:t>Điều 7. Hỗ trợ đối với viên chức có nơi ở đăng ký thường trú xa nơi làm việc</w:t>
            </w:r>
          </w:p>
          <w:p w14:paraId="477924FB" w14:textId="77777777" w:rsidR="00423563" w:rsidRPr="00D12B5E" w:rsidRDefault="00423563" w:rsidP="00423563">
            <w:pPr>
              <w:spacing w:before="60" w:after="60"/>
              <w:jc w:val="both"/>
              <w:rPr>
                <w:rFonts w:ascii="Times New Roman" w:hAnsi="Times New Roman" w:cs="Times New Roman"/>
                <w:b/>
                <w:color w:val="auto"/>
                <w:sz w:val="28"/>
                <w:szCs w:val="28"/>
              </w:rPr>
            </w:pPr>
          </w:p>
        </w:tc>
        <w:tc>
          <w:tcPr>
            <w:tcW w:w="4677" w:type="dxa"/>
            <w:shd w:val="clear" w:color="auto" w:fill="FFFFFF"/>
          </w:tcPr>
          <w:p w14:paraId="0D8C7F56"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61FDCB06"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bCs/>
                <w:color w:val="auto"/>
                <w:sz w:val="28"/>
                <w:szCs w:val="28"/>
                <w:lang w:val="en-US"/>
              </w:rPr>
              <w:t xml:space="preserve">Sau khi sáp nhập, các đơn vị hành chính cấp xã mới đều có diện tích rộng, nên việc đi lại của các công chức, viên chức nói chung sẽ có khoảng cách từ nhà và nơi làm việc xa hơn so với trước đây, theo quy định viên chức đã được hưởng lương từ nguồn ngân sách nhà nước và được hưởng thêm chế độ thu nhập tăng từ Nghị quyết số 98/2023/QH15 của Quốc hội, việc đề xuất bãi bỏ chế độ hỗ trợ này là phù hợp để tạo sự công bằng bình đẳng giữa lực lượng viên chức của từng lĩnh vực trong ngành và giữa ngành với các ngành khác. Nên bãi bỏ toàn </w:t>
            </w:r>
            <w:r w:rsidRPr="00D12B5E">
              <w:rPr>
                <w:rFonts w:ascii="Times New Roman" w:hAnsi="Times New Roman" w:cs="Times New Roman"/>
                <w:color w:val="auto"/>
                <w:sz w:val="28"/>
                <w:szCs w:val="28"/>
                <w:lang w:val="en-US"/>
              </w:rPr>
              <w:t>bộ Điều 7 của Nghị quyết số 30/2024/NQ-HĐND là hoàn toàn phù hợp với tình hình thực tế sau sáp nhập.</w:t>
            </w:r>
          </w:p>
        </w:tc>
      </w:tr>
      <w:tr w:rsidR="00D12B5E" w:rsidRPr="00D12B5E" w14:paraId="30FA63BD" w14:textId="77777777" w:rsidTr="00134210">
        <w:tc>
          <w:tcPr>
            <w:tcW w:w="3823" w:type="dxa"/>
            <w:shd w:val="clear" w:color="auto" w:fill="FFFFFF"/>
          </w:tcPr>
          <w:p w14:paraId="41F9C316" w14:textId="77777777" w:rsidR="00423563" w:rsidRPr="00D12B5E" w:rsidRDefault="00423563" w:rsidP="00423563">
            <w:pPr>
              <w:widowControl/>
              <w:spacing w:before="120"/>
              <w:jc w:val="both"/>
              <w:rPr>
                <w:rFonts w:ascii="Times New Roman" w:hAnsi="Times New Roman" w:cs="Times New Roman"/>
                <w:b/>
                <w:bCs/>
                <w:color w:val="auto"/>
                <w:sz w:val="28"/>
                <w:szCs w:val="28"/>
                <w:lang w:val="en" w:eastAsia="en-US"/>
              </w:rPr>
            </w:pPr>
            <w:r w:rsidRPr="00D12B5E">
              <w:rPr>
                <w:rFonts w:ascii="Times New Roman" w:hAnsi="Times New Roman" w:cs="Times New Roman"/>
                <w:b/>
                <w:bCs/>
                <w:color w:val="auto"/>
                <w:sz w:val="28"/>
                <w:szCs w:val="28"/>
                <w:lang w:val="en" w:eastAsia="en-US"/>
              </w:rPr>
              <w:t>Điều 8. Chi bồi dưỡng cho Ban tổ chức, Ban giám khảo các cuộc thi, hội thi, hội diễn, liên hoan tổ chức trên địa bàn tỉnh</w:t>
            </w:r>
          </w:p>
        </w:tc>
        <w:tc>
          <w:tcPr>
            <w:tcW w:w="4677" w:type="dxa"/>
            <w:shd w:val="clear" w:color="auto" w:fill="FFFFFF"/>
          </w:tcPr>
          <w:p w14:paraId="25BDFB09"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04544C29" w14:textId="77777777" w:rsidR="00423563" w:rsidRPr="00D12B5E" w:rsidRDefault="00423563" w:rsidP="00423563">
            <w:pPr>
              <w:widowControl/>
              <w:spacing w:before="120"/>
              <w:jc w:val="both"/>
              <w:rPr>
                <w:rFonts w:ascii="Times New Roman" w:hAnsi="Times New Roman" w:cs="Times New Roman"/>
                <w:bCs/>
                <w:color w:val="auto"/>
                <w:sz w:val="28"/>
                <w:szCs w:val="28"/>
                <w:lang w:val="en" w:eastAsia="en-US"/>
              </w:rPr>
            </w:pPr>
            <w:r w:rsidRPr="00D12B5E">
              <w:rPr>
                <w:rFonts w:ascii="Times New Roman" w:hAnsi="Times New Roman" w:cs="Times New Roman"/>
                <w:bCs/>
                <w:color w:val="auto"/>
                <w:sz w:val="28"/>
                <w:szCs w:val="28"/>
                <w:lang w:val="en" w:eastAsia="en-US"/>
              </w:rPr>
              <w:t xml:space="preserve">Việc đề xuất không tiếp tục thực hiện chính sách hỗ trợ này đảm bảo phù hợp với quy định về chính sách tiền lương của Nghị quyết số 27-NQ/TW trên tinh thần tiết kiệm ngân sách. </w:t>
            </w:r>
            <w:r w:rsidR="005D6F60" w:rsidRPr="00D12B5E">
              <w:rPr>
                <w:rFonts w:ascii="Times New Roman" w:hAnsi="Times New Roman" w:cs="Times New Roman"/>
                <w:bCs/>
                <w:color w:val="auto"/>
                <w:sz w:val="28"/>
                <w:szCs w:val="28"/>
                <w:lang w:val="en" w:eastAsia="en-US"/>
              </w:rPr>
              <w:t>Trường hợp mời Ban Giám khảo là cá nhân ngoài cơ quan nhà nước, việc chi trả thù lao và các khoản chi liên quan được thực hiện theo các quy định hiện hành về chi thuê chuyên gia, chi hội nghị, công tác phí và quy chế chi tiêu nội bộ của cơ quan, đơn vị tổ chức, trong phạm vi dự toán được cấp có thẩm quyền giao.</w:t>
            </w:r>
          </w:p>
        </w:tc>
      </w:tr>
      <w:tr w:rsidR="00D12B5E" w:rsidRPr="00D12B5E" w14:paraId="4584C557" w14:textId="77777777" w:rsidTr="00134210">
        <w:tc>
          <w:tcPr>
            <w:tcW w:w="3823" w:type="dxa"/>
            <w:shd w:val="clear" w:color="auto" w:fill="FFFFFF"/>
          </w:tcPr>
          <w:p w14:paraId="10D10EE6" w14:textId="77777777" w:rsidR="00423563" w:rsidRPr="00D12B5E" w:rsidRDefault="00423563" w:rsidP="00423563">
            <w:pPr>
              <w:spacing w:before="60" w:after="60"/>
              <w:jc w:val="both"/>
              <w:rPr>
                <w:rFonts w:ascii="Times New Roman" w:hAnsi="Times New Roman" w:cs="Times New Roman"/>
                <w:b/>
                <w:color w:val="auto"/>
                <w:sz w:val="28"/>
                <w:szCs w:val="28"/>
              </w:rPr>
            </w:pPr>
            <w:r w:rsidRPr="00D12B5E">
              <w:rPr>
                <w:rFonts w:ascii="Times New Roman" w:hAnsi="Times New Roman" w:cs="Times New Roman"/>
                <w:b/>
                <w:bCs/>
                <w:color w:val="auto"/>
                <w:sz w:val="28"/>
                <w:szCs w:val="28"/>
              </w:rPr>
              <w:t>Điều 10</w:t>
            </w:r>
            <w:r w:rsidRPr="00D12B5E">
              <w:rPr>
                <w:rFonts w:ascii="Times New Roman" w:hAnsi="Times New Roman" w:cs="Times New Roman"/>
                <w:bCs/>
                <w:color w:val="auto"/>
                <w:sz w:val="28"/>
                <w:szCs w:val="28"/>
              </w:rPr>
              <w:t xml:space="preserve">. </w:t>
            </w:r>
            <w:r w:rsidRPr="00D12B5E">
              <w:rPr>
                <w:rFonts w:ascii="Times New Roman" w:hAnsi="Times New Roman" w:cs="Times New Roman"/>
                <w:b/>
                <w:color w:val="auto"/>
                <w:sz w:val="28"/>
                <w:szCs w:val="28"/>
              </w:rPr>
              <w:t xml:space="preserve">Chi </w:t>
            </w:r>
            <w:r w:rsidRPr="00D12B5E">
              <w:rPr>
                <w:rFonts w:ascii="Times New Roman" w:hAnsi="Times New Roman" w:cs="Times New Roman"/>
                <w:b/>
                <w:color w:val="auto"/>
                <w:sz w:val="28"/>
                <w:szCs w:val="28"/>
                <w:lang w:val="en-US"/>
              </w:rPr>
              <w:t xml:space="preserve">hỗ trợ cho hoạt </w:t>
            </w:r>
            <w:r w:rsidRPr="00D12B5E">
              <w:rPr>
                <w:rFonts w:ascii="Times New Roman" w:hAnsi="Times New Roman" w:cs="Times New Roman"/>
                <w:b/>
                <w:color w:val="auto"/>
                <w:sz w:val="28"/>
                <w:szCs w:val="28"/>
                <w:lang w:val="en-US"/>
              </w:rPr>
              <w:lastRenderedPageBreak/>
              <w:t>động sinh vật cảnh</w:t>
            </w:r>
          </w:p>
        </w:tc>
        <w:tc>
          <w:tcPr>
            <w:tcW w:w="4677" w:type="dxa"/>
            <w:shd w:val="clear" w:color="auto" w:fill="FFFFFF"/>
          </w:tcPr>
          <w:p w14:paraId="3F353ABD" w14:textId="77777777" w:rsidR="00423563" w:rsidRPr="00D12B5E" w:rsidRDefault="00423563" w:rsidP="00423563">
            <w:pPr>
              <w:spacing w:before="60" w:after="60"/>
              <w:jc w:val="both"/>
              <w:rPr>
                <w:rFonts w:ascii="Times New Roman" w:hAnsi="Times New Roman" w:cs="Times New Roman"/>
                <w:bCs/>
                <w:color w:val="auto"/>
                <w:sz w:val="28"/>
                <w:szCs w:val="28"/>
                <w:lang w:val="en-US"/>
              </w:rPr>
            </w:pPr>
          </w:p>
        </w:tc>
        <w:tc>
          <w:tcPr>
            <w:tcW w:w="5954" w:type="dxa"/>
            <w:shd w:val="clear" w:color="auto" w:fill="FFFFFF"/>
          </w:tcPr>
          <w:p w14:paraId="781B2C70" w14:textId="77777777" w:rsidR="00423563" w:rsidRPr="00D12B5E" w:rsidRDefault="00423563" w:rsidP="00423563">
            <w:pPr>
              <w:spacing w:before="60" w:after="60"/>
              <w:jc w:val="both"/>
              <w:rPr>
                <w:rFonts w:ascii="Times New Roman" w:hAnsi="Times New Roman" w:cs="Times New Roman"/>
                <w:color w:val="auto"/>
                <w:sz w:val="28"/>
                <w:szCs w:val="28"/>
                <w:lang w:val="en-US"/>
              </w:rPr>
            </w:pPr>
            <w:r w:rsidRPr="00D12B5E">
              <w:rPr>
                <w:rFonts w:ascii="Times New Roman" w:hAnsi="Times New Roman" w:cs="Times New Roman"/>
                <w:bCs/>
                <w:color w:val="auto"/>
                <w:sz w:val="28"/>
                <w:szCs w:val="28"/>
                <w:lang w:val="en-US"/>
              </w:rPr>
              <w:t xml:space="preserve">Nội dung này tại Thành phố Hồ Chí Minh (trước </w:t>
            </w:r>
            <w:r w:rsidRPr="00D12B5E">
              <w:rPr>
                <w:rFonts w:ascii="Times New Roman" w:hAnsi="Times New Roman" w:cs="Times New Roman"/>
                <w:bCs/>
                <w:color w:val="auto"/>
                <w:sz w:val="28"/>
                <w:szCs w:val="28"/>
                <w:lang w:val="en-US"/>
              </w:rPr>
              <w:lastRenderedPageBreak/>
              <w:t xml:space="preserve">sáp nhập) đã thực hiện công tác xã hội hóa hoạt động này từ nhiều năm nay, theo đó để tiếp tục thực hiện tốt chủ trương xã hội hóa tại khu vực Bình Dương và Bà Rịa – Vũng Tàu (sau sáp nhập), nên không dùng ngân sách để hỗ trợ hoạt động này. Vì vậy bãi bỏ toàn </w:t>
            </w:r>
            <w:r w:rsidR="005D6F60" w:rsidRPr="00D12B5E">
              <w:rPr>
                <w:rFonts w:ascii="Times New Roman" w:hAnsi="Times New Roman" w:cs="Times New Roman"/>
                <w:color w:val="auto"/>
                <w:sz w:val="28"/>
                <w:szCs w:val="28"/>
                <w:lang w:val="en-US"/>
              </w:rPr>
              <w:t>bộ Điều 10</w:t>
            </w:r>
            <w:r w:rsidRPr="00D12B5E">
              <w:rPr>
                <w:rFonts w:ascii="Times New Roman" w:hAnsi="Times New Roman" w:cs="Times New Roman"/>
                <w:color w:val="auto"/>
                <w:sz w:val="28"/>
                <w:szCs w:val="28"/>
                <w:lang w:val="en-US"/>
              </w:rPr>
              <w:t xml:space="preserve"> của Nghị quyết số 30/2024/NQ-HĐND là hoàn toàn phù hợp với tình hình thực tế sau sáp nhập.</w:t>
            </w:r>
          </w:p>
        </w:tc>
      </w:tr>
    </w:tbl>
    <w:p w14:paraId="11936FCD" w14:textId="77777777" w:rsidR="008842AA" w:rsidRPr="00D12B5E" w:rsidRDefault="008842AA" w:rsidP="00561271">
      <w:pPr>
        <w:spacing w:before="120" w:after="120"/>
        <w:ind w:firstLine="567"/>
        <w:jc w:val="both"/>
        <w:rPr>
          <w:rFonts w:ascii="Times New Roman" w:hAnsi="Times New Roman" w:cs="Times New Roman"/>
          <w:bCs/>
          <w:color w:val="auto"/>
          <w:sz w:val="28"/>
          <w:szCs w:val="28"/>
          <w:lang w:val="en-US"/>
        </w:rPr>
      </w:pPr>
      <w:r w:rsidRPr="00D12B5E">
        <w:rPr>
          <w:rFonts w:ascii="Times New Roman" w:hAnsi="Times New Roman" w:cs="Times New Roman"/>
          <w:b/>
          <w:bCs/>
          <w:color w:val="auto"/>
          <w:sz w:val="28"/>
          <w:szCs w:val="28"/>
          <w:lang w:val="en-US"/>
        </w:rPr>
        <w:lastRenderedPageBreak/>
        <w:t>2. Đối với văn bản ban hành mới</w:t>
      </w:r>
      <w:r w:rsidRPr="00D12B5E">
        <w:rPr>
          <w:rFonts w:ascii="Times New Roman" w:hAnsi="Times New Roman" w:cs="Times New Roman"/>
          <w:bCs/>
          <w:color w:val="auto"/>
          <w:sz w:val="28"/>
          <w:szCs w:val="28"/>
          <w:lang w:val="en-US"/>
        </w:rPr>
        <w:t xml:space="preserve"> </w:t>
      </w:r>
    </w:p>
    <w:p w14:paraId="6034D31A" w14:textId="77777777" w:rsidR="008842AA" w:rsidRPr="00D12B5E" w:rsidRDefault="008842AA" w:rsidP="00561271">
      <w:pPr>
        <w:spacing w:before="120" w:after="120"/>
        <w:ind w:firstLine="567"/>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t>Không có.</w:t>
      </w:r>
    </w:p>
    <w:p w14:paraId="65937F29" w14:textId="77777777" w:rsidR="00CA13BC" w:rsidRPr="00D12B5E" w:rsidRDefault="00201F68" w:rsidP="008D6588">
      <w:pPr>
        <w:spacing w:before="120" w:after="120"/>
        <w:ind w:firstLine="567"/>
        <w:jc w:val="both"/>
        <w:rPr>
          <w:rFonts w:ascii="Times New Roman" w:hAnsi="Times New Roman" w:cs="Times New Roman"/>
          <w:bCs/>
          <w:color w:val="auto"/>
          <w:sz w:val="28"/>
          <w:szCs w:val="28"/>
          <w:lang w:val="en-US"/>
        </w:rPr>
      </w:pPr>
      <w:r w:rsidRPr="00D12B5E">
        <w:rPr>
          <w:rFonts w:ascii="Times New Roman" w:hAnsi="Times New Roman" w:cs="Times New Roman"/>
          <w:bCs/>
          <w:color w:val="auto"/>
          <w:sz w:val="28"/>
          <w:szCs w:val="28"/>
          <w:lang w:val="en-US"/>
        </w:rPr>
        <w:t xml:space="preserve">Trên đây là kết quả so sánh, thuyết minh nội dung dự thảo Nghị quyết với các quy định pháp luật hiện hành của </w:t>
      </w:r>
      <w:r w:rsidRPr="00D12B5E">
        <w:rPr>
          <w:rFonts w:ascii="Times New Roman" w:hAnsi="Times New Roman" w:cs="Times New Roman"/>
          <w:color w:val="auto"/>
          <w:sz w:val="28"/>
          <w:szCs w:val="28"/>
          <w:lang w:val="en-US"/>
        </w:rPr>
        <w:t>Ủy ban nhân dân Thành phố</w:t>
      </w:r>
      <w:r w:rsidRPr="00D12B5E">
        <w:rPr>
          <w:rFonts w:ascii="Times New Roman" w:hAnsi="Times New Roman" w:cs="Times New Roman"/>
          <w:bCs/>
          <w:color w:val="auto"/>
          <w:sz w:val="28"/>
          <w:szCs w:val="28"/>
          <w:lang w:val="en-US"/>
        </w:rPr>
        <w:t>./.</w:t>
      </w:r>
    </w:p>
    <w:sectPr w:rsidR="00CA13BC" w:rsidRPr="00D12B5E" w:rsidSect="000206E4">
      <w:pgSz w:w="16840" w:h="11907" w:orient="landscape" w:code="9"/>
      <w:pgMar w:top="1418" w:right="1134" w:bottom="851" w:left="1247" w:header="68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593EA" w14:textId="77777777" w:rsidR="00832F96" w:rsidRDefault="00832F96">
      <w:r>
        <w:separator/>
      </w:r>
    </w:p>
  </w:endnote>
  <w:endnote w:type="continuationSeparator" w:id="0">
    <w:p w14:paraId="1A3C04CD" w14:textId="77777777" w:rsidR="00832F96" w:rsidRDefault="0083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248C7" w14:textId="77777777" w:rsidR="00832F96" w:rsidRDefault="00832F96">
      <w:r>
        <w:separator/>
      </w:r>
    </w:p>
  </w:footnote>
  <w:footnote w:type="continuationSeparator" w:id="0">
    <w:p w14:paraId="5A30ABB2" w14:textId="77777777" w:rsidR="00832F96" w:rsidRDefault="0083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AB8" w14:textId="77777777" w:rsidR="00000000" w:rsidRDefault="0000000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4270" w14:textId="77777777" w:rsidR="00000000" w:rsidRDefault="00653FC5" w:rsidP="00B1009A">
    <w:pPr>
      <w:pStyle w:val="Header"/>
      <w:jc w:val="center"/>
    </w:pPr>
    <w:r>
      <w:fldChar w:fldCharType="begin"/>
    </w:r>
    <w:r>
      <w:instrText xml:space="preserve"> PAGE   \* MERGEFORMAT </w:instrText>
    </w:r>
    <w:r>
      <w:fldChar w:fldCharType="separate"/>
    </w:r>
    <w:r w:rsidR="00E07B7F">
      <w:rPr>
        <w:noProof/>
      </w:rPr>
      <w:t>13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5BB3"/>
    <w:multiLevelType w:val="hybridMultilevel"/>
    <w:tmpl w:val="64160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B337F"/>
    <w:multiLevelType w:val="hybridMultilevel"/>
    <w:tmpl w:val="E1D2E876"/>
    <w:lvl w:ilvl="0" w:tplc="72A6EB1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F12EE"/>
    <w:multiLevelType w:val="hybridMultilevel"/>
    <w:tmpl w:val="753A8D68"/>
    <w:lvl w:ilvl="0" w:tplc="494A1964">
      <w:numFmt w:val="bullet"/>
      <w:lvlText w:val="-"/>
      <w:lvlJc w:val="left"/>
      <w:pPr>
        <w:ind w:left="720" w:hanging="360"/>
      </w:pPr>
      <w:rPr>
        <w:rFonts w:ascii="Courier New" w:eastAsia="Times New Roman"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514068">
    <w:abstractNumId w:val="2"/>
  </w:num>
  <w:num w:numId="2" w16cid:durableId="660818133">
    <w:abstractNumId w:val="1"/>
  </w:num>
  <w:num w:numId="3" w16cid:durableId="1782218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C5"/>
    <w:rsid w:val="000206E4"/>
    <w:rsid w:val="000236EA"/>
    <w:rsid w:val="00027A87"/>
    <w:rsid w:val="00031FF8"/>
    <w:rsid w:val="00036820"/>
    <w:rsid w:val="000406CC"/>
    <w:rsid w:val="00041715"/>
    <w:rsid w:val="000656FD"/>
    <w:rsid w:val="000A3C20"/>
    <w:rsid w:val="000E33F6"/>
    <w:rsid w:val="000E7CAD"/>
    <w:rsid w:val="00100A06"/>
    <w:rsid w:val="00126E5A"/>
    <w:rsid w:val="00132F0E"/>
    <w:rsid w:val="001341D1"/>
    <w:rsid w:val="00134210"/>
    <w:rsid w:val="0015386D"/>
    <w:rsid w:val="00163008"/>
    <w:rsid w:val="001749CA"/>
    <w:rsid w:val="0018367D"/>
    <w:rsid w:val="00184B6A"/>
    <w:rsid w:val="001A6243"/>
    <w:rsid w:val="001B66C1"/>
    <w:rsid w:val="001C3F80"/>
    <w:rsid w:val="001C631C"/>
    <w:rsid w:val="001D44F4"/>
    <w:rsid w:val="00201619"/>
    <w:rsid w:val="002018B4"/>
    <w:rsid w:val="00201F68"/>
    <w:rsid w:val="002036E3"/>
    <w:rsid w:val="00233E7A"/>
    <w:rsid w:val="00244027"/>
    <w:rsid w:val="002621AE"/>
    <w:rsid w:val="00267626"/>
    <w:rsid w:val="00276F4B"/>
    <w:rsid w:val="002806FD"/>
    <w:rsid w:val="002A4EF5"/>
    <w:rsid w:val="002C0CB3"/>
    <w:rsid w:val="002C2533"/>
    <w:rsid w:val="002C2BB9"/>
    <w:rsid w:val="002C3392"/>
    <w:rsid w:val="002E4E95"/>
    <w:rsid w:val="002F223D"/>
    <w:rsid w:val="002F5CDD"/>
    <w:rsid w:val="0030335A"/>
    <w:rsid w:val="003224F1"/>
    <w:rsid w:val="00324A08"/>
    <w:rsid w:val="003304C1"/>
    <w:rsid w:val="00331B5A"/>
    <w:rsid w:val="00340EA9"/>
    <w:rsid w:val="003504DA"/>
    <w:rsid w:val="003669CC"/>
    <w:rsid w:val="00385CF4"/>
    <w:rsid w:val="00386AD5"/>
    <w:rsid w:val="003905BF"/>
    <w:rsid w:val="003A1A2C"/>
    <w:rsid w:val="003A3D3C"/>
    <w:rsid w:val="003A4753"/>
    <w:rsid w:val="003A5DF2"/>
    <w:rsid w:val="003C258D"/>
    <w:rsid w:val="003C34AE"/>
    <w:rsid w:val="003C73E2"/>
    <w:rsid w:val="003D1DCA"/>
    <w:rsid w:val="003D51BE"/>
    <w:rsid w:val="003D7D38"/>
    <w:rsid w:val="003F68A7"/>
    <w:rsid w:val="004233EE"/>
    <w:rsid w:val="00423563"/>
    <w:rsid w:val="00424064"/>
    <w:rsid w:val="00456855"/>
    <w:rsid w:val="00456B89"/>
    <w:rsid w:val="0046422D"/>
    <w:rsid w:val="00472BB2"/>
    <w:rsid w:val="0047482D"/>
    <w:rsid w:val="0047649A"/>
    <w:rsid w:val="004921F2"/>
    <w:rsid w:val="00495AF8"/>
    <w:rsid w:val="004A2A34"/>
    <w:rsid w:val="004B3B9D"/>
    <w:rsid w:val="004C7BFF"/>
    <w:rsid w:val="004D2C3D"/>
    <w:rsid w:val="004D3D5F"/>
    <w:rsid w:val="004D7A0C"/>
    <w:rsid w:val="004E6AA9"/>
    <w:rsid w:val="004F74C0"/>
    <w:rsid w:val="0050458A"/>
    <w:rsid w:val="005207D7"/>
    <w:rsid w:val="00532768"/>
    <w:rsid w:val="005510E4"/>
    <w:rsid w:val="00561271"/>
    <w:rsid w:val="00562BE5"/>
    <w:rsid w:val="00564DD7"/>
    <w:rsid w:val="005927E1"/>
    <w:rsid w:val="005A1519"/>
    <w:rsid w:val="005A3386"/>
    <w:rsid w:val="005B0F9A"/>
    <w:rsid w:val="005B25AF"/>
    <w:rsid w:val="005B5725"/>
    <w:rsid w:val="005C4E80"/>
    <w:rsid w:val="005D6F60"/>
    <w:rsid w:val="005E0E88"/>
    <w:rsid w:val="006136B1"/>
    <w:rsid w:val="0062162F"/>
    <w:rsid w:val="00626173"/>
    <w:rsid w:val="00653771"/>
    <w:rsid w:val="00653FC5"/>
    <w:rsid w:val="0065777C"/>
    <w:rsid w:val="00684A8F"/>
    <w:rsid w:val="0068564B"/>
    <w:rsid w:val="00695F44"/>
    <w:rsid w:val="006A6570"/>
    <w:rsid w:val="006A6636"/>
    <w:rsid w:val="006F0E61"/>
    <w:rsid w:val="006F47F7"/>
    <w:rsid w:val="006F5C81"/>
    <w:rsid w:val="0070381A"/>
    <w:rsid w:val="00703BDA"/>
    <w:rsid w:val="0073454F"/>
    <w:rsid w:val="007474CE"/>
    <w:rsid w:val="00751210"/>
    <w:rsid w:val="00771161"/>
    <w:rsid w:val="0077422F"/>
    <w:rsid w:val="0078055D"/>
    <w:rsid w:val="007B546C"/>
    <w:rsid w:val="007B6413"/>
    <w:rsid w:val="007B7085"/>
    <w:rsid w:val="007D0C26"/>
    <w:rsid w:val="007D6629"/>
    <w:rsid w:val="007E3F3C"/>
    <w:rsid w:val="008319FD"/>
    <w:rsid w:val="00832F96"/>
    <w:rsid w:val="00851536"/>
    <w:rsid w:val="00855787"/>
    <w:rsid w:val="00860566"/>
    <w:rsid w:val="00863C1E"/>
    <w:rsid w:val="008842AA"/>
    <w:rsid w:val="00894C3F"/>
    <w:rsid w:val="008A6634"/>
    <w:rsid w:val="008B5C4D"/>
    <w:rsid w:val="008C33A6"/>
    <w:rsid w:val="008C5FFE"/>
    <w:rsid w:val="008D1F00"/>
    <w:rsid w:val="008D6588"/>
    <w:rsid w:val="008D7B81"/>
    <w:rsid w:val="008E318B"/>
    <w:rsid w:val="008E61AB"/>
    <w:rsid w:val="00910C1D"/>
    <w:rsid w:val="00920541"/>
    <w:rsid w:val="009313CA"/>
    <w:rsid w:val="00954967"/>
    <w:rsid w:val="00956939"/>
    <w:rsid w:val="00960F6B"/>
    <w:rsid w:val="009818E5"/>
    <w:rsid w:val="009C3FF0"/>
    <w:rsid w:val="009F128D"/>
    <w:rsid w:val="009F3D6E"/>
    <w:rsid w:val="00A31546"/>
    <w:rsid w:val="00A51CBE"/>
    <w:rsid w:val="00A52668"/>
    <w:rsid w:val="00A8127B"/>
    <w:rsid w:val="00A91073"/>
    <w:rsid w:val="00A96558"/>
    <w:rsid w:val="00A96A18"/>
    <w:rsid w:val="00AA135A"/>
    <w:rsid w:val="00AC636F"/>
    <w:rsid w:val="00AD28B8"/>
    <w:rsid w:val="00AD7DFC"/>
    <w:rsid w:val="00B03C03"/>
    <w:rsid w:val="00B06F22"/>
    <w:rsid w:val="00B37695"/>
    <w:rsid w:val="00B47BB8"/>
    <w:rsid w:val="00B616FD"/>
    <w:rsid w:val="00B707C7"/>
    <w:rsid w:val="00B7289B"/>
    <w:rsid w:val="00BA0163"/>
    <w:rsid w:val="00BA746D"/>
    <w:rsid w:val="00BB0B90"/>
    <w:rsid w:val="00BD25A5"/>
    <w:rsid w:val="00BD4653"/>
    <w:rsid w:val="00C30711"/>
    <w:rsid w:val="00C41A99"/>
    <w:rsid w:val="00C56136"/>
    <w:rsid w:val="00C64FE0"/>
    <w:rsid w:val="00C66B4F"/>
    <w:rsid w:val="00CA13BC"/>
    <w:rsid w:val="00CC5132"/>
    <w:rsid w:val="00CD60A6"/>
    <w:rsid w:val="00CD6789"/>
    <w:rsid w:val="00D03E63"/>
    <w:rsid w:val="00D12B5E"/>
    <w:rsid w:val="00D14D23"/>
    <w:rsid w:val="00D233C3"/>
    <w:rsid w:val="00D608EC"/>
    <w:rsid w:val="00D739E5"/>
    <w:rsid w:val="00D8553A"/>
    <w:rsid w:val="00D95D32"/>
    <w:rsid w:val="00DA0AA4"/>
    <w:rsid w:val="00DA4A15"/>
    <w:rsid w:val="00DA4BCF"/>
    <w:rsid w:val="00DD7694"/>
    <w:rsid w:val="00DD7C06"/>
    <w:rsid w:val="00DF3995"/>
    <w:rsid w:val="00E0772F"/>
    <w:rsid w:val="00E07B7F"/>
    <w:rsid w:val="00E71500"/>
    <w:rsid w:val="00E95005"/>
    <w:rsid w:val="00E970F7"/>
    <w:rsid w:val="00EA6AD2"/>
    <w:rsid w:val="00EB565C"/>
    <w:rsid w:val="00EB5789"/>
    <w:rsid w:val="00EC0813"/>
    <w:rsid w:val="00ED796B"/>
    <w:rsid w:val="00EE49EA"/>
    <w:rsid w:val="00EE683C"/>
    <w:rsid w:val="00F15E71"/>
    <w:rsid w:val="00F20D7F"/>
    <w:rsid w:val="00F24A4C"/>
    <w:rsid w:val="00F31F97"/>
    <w:rsid w:val="00F459A1"/>
    <w:rsid w:val="00F47D25"/>
    <w:rsid w:val="00F5738A"/>
    <w:rsid w:val="00F638BA"/>
    <w:rsid w:val="00F75FCE"/>
    <w:rsid w:val="00FB486C"/>
    <w:rsid w:val="00FC348D"/>
    <w:rsid w:val="00FD03E6"/>
    <w:rsid w:val="00FD2CDC"/>
    <w:rsid w:val="00FE2F6D"/>
    <w:rsid w:val="00FF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0550"/>
  <w15:chartTrackingRefBased/>
  <w15:docId w15:val="{FC73BEA0-D8A3-4F6A-9859-64786D46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FC5"/>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C5"/>
    <w:pPr>
      <w:widowControl/>
      <w:tabs>
        <w:tab w:val="center" w:pos="4680"/>
        <w:tab w:val="right" w:pos="9360"/>
      </w:tabs>
    </w:pPr>
    <w:rPr>
      <w:rFonts w:ascii="Times New Roman" w:hAnsi="Times New Roman" w:cs="Times New Roman"/>
      <w:color w:val="auto"/>
      <w:sz w:val="28"/>
      <w:szCs w:val="28"/>
      <w:lang w:val="en-US" w:eastAsia="en-US"/>
    </w:rPr>
  </w:style>
  <w:style w:type="character" w:customStyle="1" w:styleId="HeaderChar">
    <w:name w:val="Header Char"/>
    <w:basedOn w:val="DefaultParagraphFont"/>
    <w:link w:val="Header"/>
    <w:uiPriority w:val="99"/>
    <w:rsid w:val="00653FC5"/>
    <w:rPr>
      <w:rFonts w:eastAsia="Times New Roman"/>
    </w:rPr>
  </w:style>
  <w:style w:type="paragraph" w:styleId="ListParagraph">
    <w:name w:val="List Paragraph"/>
    <w:basedOn w:val="Normal"/>
    <w:uiPriority w:val="34"/>
    <w:qFormat/>
    <w:rsid w:val="00495AF8"/>
    <w:pPr>
      <w:ind w:left="720"/>
      <w:contextualSpacing/>
    </w:pPr>
  </w:style>
  <w:style w:type="table" w:styleId="TableGrid">
    <w:name w:val="Table Grid"/>
    <w:basedOn w:val="TableNormal"/>
    <w:uiPriority w:val="39"/>
    <w:rsid w:val="0049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4233EE"/>
    <w:rPr>
      <w:rFonts w:eastAsia="Times New Roman"/>
    </w:rPr>
  </w:style>
  <w:style w:type="paragraph" w:styleId="NormalWeb">
    <w:name w:val="Normal (Web)"/>
    <w:basedOn w:val="Normal"/>
    <w:link w:val="NormalWebChar"/>
    <w:uiPriority w:val="99"/>
    <w:unhideWhenUsed/>
    <w:rsid w:val="00201F68"/>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201F68"/>
    <w:rPr>
      <w:b/>
      <w:bCs/>
    </w:rPr>
  </w:style>
  <w:style w:type="paragraph" w:styleId="BalloonText">
    <w:name w:val="Balloon Text"/>
    <w:basedOn w:val="Normal"/>
    <w:link w:val="BalloonTextChar"/>
    <w:uiPriority w:val="99"/>
    <w:semiHidden/>
    <w:unhideWhenUsed/>
    <w:rsid w:val="00201F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F68"/>
    <w:rPr>
      <w:rFonts w:ascii="Segoe UI" w:eastAsia="Times New Roman" w:hAnsi="Segoe UI" w:cs="Segoe UI"/>
      <w:color w:val="000000"/>
      <w:sz w:val="18"/>
      <w:szCs w:val="18"/>
      <w:lang w:val="vi-VN" w:eastAsia="vi-VN"/>
    </w:rPr>
  </w:style>
  <w:style w:type="character" w:customStyle="1" w:styleId="NormalWebChar">
    <w:name w:val="Normal (Web) Char"/>
    <w:link w:val="NormalWeb"/>
    <w:uiPriority w:val="99"/>
    <w:locked/>
    <w:rsid w:val="002F5CDD"/>
    <w:rPr>
      <w:rFonts w:eastAsia="Times New Roman"/>
      <w:sz w:val="24"/>
      <w:szCs w:val="24"/>
    </w:rPr>
  </w:style>
  <w:style w:type="character" w:customStyle="1" w:styleId="uv3um">
    <w:name w:val="uv3um"/>
    <w:basedOn w:val="DefaultParagraphFont"/>
    <w:rsid w:val="00A31546"/>
  </w:style>
  <w:style w:type="character" w:customStyle="1" w:styleId="fontstyle31">
    <w:name w:val="fontstyle31"/>
    <w:qFormat/>
    <w:rsid w:val="00EE49EA"/>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416576">
      <w:bodyDiv w:val="1"/>
      <w:marLeft w:val="0"/>
      <w:marRight w:val="0"/>
      <w:marTop w:val="0"/>
      <w:marBottom w:val="0"/>
      <w:divBdr>
        <w:top w:val="none" w:sz="0" w:space="0" w:color="auto"/>
        <w:left w:val="none" w:sz="0" w:space="0" w:color="auto"/>
        <w:bottom w:val="none" w:sz="0" w:space="0" w:color="auto"/>
        <w:right w:val="none" w:sz="0" w:space="0" w:color="auto"/>
      </w:divBdr>
    </w:div>
    <w:div w:id="1652441650">
      <w:bodyDiv w:val="1"/>
      <w:marLeft w:val="0"/>
      <w:marRight w:val="0"/>
      <w:marTop w:val="0"/>
      <w:marBottom w:val="0"/>
      <w:divBdr>
        <w:top w:val="none" w:sz="0" w:space="0" w:color="auto"/>
        <w:left w:val="none" w:sz="0" w:space="0" w:color="auto"/>
        <w:bottom w:val="none" w:sz="0" w:space="0" w:color="auto"/>
        <w:right w:val="none" w:sz="0" w:space="0" w:color="auto"/>
      </w:divBdr>
    </w:div>
    <w:div w:id="20195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1707-F895-4C49-BD41-3464A154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2026-01-21T08:03:00Z</cp:lastPrinted>
  <dcterms:created xsi:type="dcterms:W3CDTF">2026-04-09T08:21:00Z</dcterms:created>
  <dcterms:modified xsi:type="dcterms:W3CDTF">2026-04-14T20:16:00Z</dcterms:modified>
</cp:coreProperties>
</file>