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7" w:type="dxa"/>
        <w:tblInd w:w="137" w:type="dxa"/>
        <w:tblCellMar>
          <w:left w:w="85" w:type="dxa"/>
          <w:right w:w="85" w:type="dxa"/>
        </w:tblCellMar>
        <w:tblLook w:val="0000" w:firstRow="0" w:lastRow="0" w:firstColumn="0" w:lastColumn="0" w:noHBand="0" w:noVBand="0"/>
      </w:tblPr>
      <w:tblGrid>
        <w:gridCol w:w="7088"/>
        <w:gridCol w:w="7229"/>
      </w:tblGrid>
      <w:tr w:rsidR="005A1519" w:rsidRPr="00E0772F" w14:paraId="6F9139CD" w14:textId="77777777" w:rsidTr="000340BA">
        <w:trPr>
          <w:cantSplit/>
          <w:trHeight w:val="1266"/>
        </w:trPr>
        <w:tc>
          <w:tcPr>
            <w:tcW w:w="7088" w:type="dxa"/>
          </w:tcPr>
          <w:p w14:paraId="1FBD5179" w14:textId="77777777" w:rsidR="00495AF8" w:rsidRPr="00E0772F" w:rsidRDefault="00495AF8" w:rsidP="00495AF8">
            <w:pPr>
              <w:widowControl/>
              <w:tabs>
                <w:tab w:val="left" w:pos="977"/>
              </w:tabs>
              <w:jc w:val="center"/>
              <w:rPr>
                <w:rFonts w:ascii="Times New Roman" w:hAnsi="Times New Roman" w:cs="Times New Roman"/>
                <w:b/>
                <w:color w:val="auto"/>
                <w:sz w:val="26"/>
                <w:szCs w:val="26"/>
                <w:lang w:val="en-US" w:eastAsia="en-US"/>
              </w:rPr>
            </w:pPr>
            <w:r w:rsidRPr="00E0772F">
              <w:rPr>
                <w:rFonts w:ascii="Times New Roman" w:hAnsi="Times New Roman" w:cs="Times New Roman"/>
                <w:b/>
                <w:color w:val="auto"/>
                <w:sz w:val="26"/>
                <w:szCs w:val="26"/>
                <w:lang w:val="en-US" w:eastAsia="en-US"/>
              </w:rPr>
              <w:t>ỦY BAN NHÂN DÂN</w:t>
            </w:r>
          </w:p>
          <w:p w14:paraId="3CEB46EE" w14:textId="77777777" w:rsidR="00495AF8" w:rsidRPr="00E0772F" w:rsidRDefault="00495AF8" w:rsidP="00495AF8">
            <w:pPr>
              <w:widowControl/>
              <w:jc w:val="center"/>
              <w:rPr>
                <w:rFonts w:ascii="Times New Roman" w:hAnsi="Times New Roman" w:cs="Times New Roman"/>
                <w:b/>
                <w:color w:val="auto"/>
                <w:sz w:val="26"/>
                <w:szCs w:val="26"/>
                <w:lang w:val="en-US" w:eastAsia="en-US"/>
              </w:rPr>
            </w:pPr>
            <w:r w:rsidRPr="00E0772F">
              <w:rPr>
                <w:rFonts w:ascii="Times New Roman" w:hAnsi="Times New Roman" w:cs="Times New Roman"/>
                <w:b/>
                <w:color w:val="auto"/>
                <w:sz w:val="26"/>
                <w:szCs w:val="26"/>
                <w:lang w:val="en-US" w:eastAsia="en-US"/>
              </w:rPr>
              <w:t>THÀNH PHỐ HỒ CHÍ MINH</w:t>
            </w:r>
          </w:p>
          <w:p w14:paraId="290CE63D" w14:textId="4A8A2CDD" w:rsidR="00495AF8" w:rsidRPr="00E0772F" w:rsidRDefault="000340BA" w:rsidP="00495AF8">
            <w:pPr>
              <w:widowControl/>
              <w:jc w:val="center"/>
              <w:rPr>
                <w:rFonts w:ascii="Times New Roman" w:hAnsi="Times New Roman" w:cs="Times New Roman"/>
                <w:color w:val="auto"/>
                <w:sz w:val="12"/>
                <w:szCs w:val="12"/>
                <w:lang w:val="en-US" w:eastAsia="en-US"/>
              </w:rPr>
            </w:pPr>
            <w:r w:rsidRPr="00E0772F">
              <w:rPr>
                <w:rFonts w:ascii="Times New Roman" w:hAnsi="Times New Roman" w:cs="Times New Roman"/>
                <w:noProof/>
                <w:color w:val="auto"/>
                <w:sz w:val="12"/>
                <w:szCs w:val="12"/>
                <w:lang w:val="en-US" w:eastAsia="en-US"/>
              </w:rPr>
              <mc:AlternateContent>
                <mc:Choice Requires="wps">
                  <w:drawing>
                    <wp:anchor distT="0" distB="0" distL="114300" distR="114300" simplePos="0" relativeHeight="251659264" behindDoc="0" locked="0" layoutInCell="1" allowOverlap="1" wp14:anchorId="1CEBDC5F" wp14:editId="554BD594">
                      <wp:simplePos x="0" y="0"/>
                      <wp:positionH relativeFrom="column">
                        <wp:posOffset>620395</wp:posOffset>
                      </wp:positionH>
                      <wp:positionV relativeFrom="paragraph">
                        <wp:posOffset>413715</wp:posOffset>
                      </wp:positionV>
                      <wp:extent cx="1447800" cy="526415"/>
                      <wp:effectExtent l="0" t="0" r="19050" b="26035"/>
                      <wp:wrapNone/>
                      <wp:docPr id="1" name="Rectangle 1"/>
                      <wp:cNvGraphicFramePr/>
                      <a:graphic xmlns:a="http://schemas.openxmlformats.org/drawingml/2006/main">
                        <a:graphicData uri="http://schemas.microsoft.com/office/word/2010/wordprocessingShape">
                          <wps:wsp>
                            <wps:cNvSpPr/>
                            <wps:spPr>
                              <a:xfrm>
                                <a:off x="0" y="0"/>
                                <a:ext cx="1447800" cy="5264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5BA827" w14:textId="77777777" w:rsidR="00695F44" w:rsidRPr="00695F44" w:rsidRDefault="00695F44" w:rsidP="00695F44">
                                  <w:pPr>
                                    <w:jc w:val="both"/>
                                    <w:rPr>
                                      <w:rFonts w:ascii="Times New Roman" w:hAnsi="Times New Roman" w:cs="Times New Roman"/>
                                      <w:b/>
                                      <w:lang w:val="en-US"/>
                                    </w:rPr>
                                  </w:pPr>
                                  <w:r w:rsidRPr="00695F44">
                                    <w:rPr>
                                      <w:rFonts w:ascii="Times New Roman" w:hAnsi="Times New Roman" w:cs="Times New Roman"/>
                                      <w:b/>
                                      <w:lang w:val="en-US"/>
                                    </w:rPr>
                                    <w:t>Mẫu số 12, PL IV của NĐ số 187/2025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BDC5F" id="Rectangle 1" o:spid="_x0000_s1026" style="position:absolute;left:0;text-align:left;margin-left:48.85pt;margin-top:32.6pt;width:114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" fillcolor="white [3201]" strokecolor="#70ad47 [3209]" strokeweight="1pt">
                      <v:textbox>
                        <w:txbxContent>
                          <w:p w14:paraId="565BA827" w14:textId="77777777" w:rsidR="00695F44" w:rsidRPr="00695F44" w:rsidRDefault="00695F44" w:rsidP="00695F44">
                            <w:pPr>
                              <w:jc w:val="both"/>
                              <w:rPr>
                                <w:rFonts w:ascii="Times New Roman" w:hAnsi="Times New Roman" w:cs="Times New Roman"/>
                                <w:b/>
                                <w:lang w:val="en-US"/>
                              </w:rPr>
                            </w:pPr>
                            <w:proofErr w:type="spellStart"/>
                            <w:r w:rsidRPr="00695F44">
                              <w:rPr>
                                <w:rFonts w:ascii="Times New Roman" w:hAnsi="Times New Roman" w:cs="Times New Roman"/>
                                <w:b/>
                                <w:lang w:val="en-US"/>
                              </w:rPr>
                              <w:t>Mẫu</w:t>
                            </w:r>
                            <w:proofErr w:type="spellEnd"/>
                            <w:r w:rsidRPr="00695F44">
                              <w:rPr>
                                <w:rFonts w:ascii="Times New Roman" w:hAnsi="Times New Roman" w:cs="Times New Roman"/>
                                <w:b/>
                                <w:lang w:val="en-US"/>
                              </w:rPr>
                              <w:t xml:space="preserve"> </w:t>
                            </w:r>
                            <w:proofErr w:type="spellStart"/>
                            <w:r w:rsidRPr="00695F44">
                              <w:rPr>
                                <w:rFonts w:ascii="Times New Roman" w:hAnsi="Times New Roman" w:cs="Times New Roman"/>
                                <w:b/>
                                <w:lang w:val="en-US"/>
                              </w:rPr>
                              <w:t>số</w:t>
                            </w:r>
                            <w:proofErr w:type="spellEnd"/>
                            <w:r w:rsidRPr="00695F44">
                              <w:rPr>
                                <w:rFonts w:ascii="Times New Roman" w:hAnsi="Times New Roman" w:cs="Times New Roman"/>
                                <w:b/>
                                <w:lang w:val="en-US"/>
                              </w:rPr>
                              <w:t xml:space="preserve"> 12, PL IV </w:t>
                            </w:r>
                            <w:proofErr w:type="spellStart"/>
                            <w:r w:rsidRPr="00695F44">
                              <w:rPr>
                                <w:rFonts w:ascii="Times New Roman" w:hAnsi="Times New Roman" w:cs="Times New Roman"/>
                                <w:b/>
                                <w:lang w:val="en-US"/>
                              </w:rPr>
                              <w:t>của</w:t>
                            </w:r>
                            <w:proofErr w:type="spellEnd"/>
                            <w:r w:rsidRPr="00695F44">
                              <w:rPr>
                                <w:rFonts w:ascii="Times New Roman" w:hAnsi="Times New Roman" w:cs="Times New Roman"/>
                                <w:b/>
                                <w:lang w:val="en-US"/>
                              </w:rPr>
                              <w:t xml:space="preserve"> NĐ </w:t>
                            </w:r>
                            <w:proofErr w:type="spellStart"/>
                            <w:r w:rsidRPr="00695F44">
                              <w:rPr>
                                <w:rFonts w:ascii="Times New Roman" w:hAnsi="Times New Roman" w:cs="Times New Roman"/>
                                <w:b/>
                                <w:lang w:val="en-US"/>
                              </w:rPr>
                              <w:t>số</w:t>
                            </w:r>
                            <w:proofErr w:type="spellEnd"/>
                            <w:r w:rsidRPr="00695F44">
                              <w:rPr>
                                <w:rFonts w:ascii="Times New Roman" w:hAnsi="Times New Roman" w:cs="Times New Roman"/>
                                <w:b/>
                                <w:lang w:val="en-US"/>
                              </w:rPr>
                              <w:t xml:space="preserve"> 187/2025</w:t>
                            </w:r>
                          </w:p>
                        </w:txbxContent>
                      </v:textbox>
                    </v:rect>
                  </w:pict>
                </mc:Fallback>
              </mc:AlternateContent>
            </w:r>
            <w:r w:rsidR="00495AF8" w:rsidRPr="00E0772F">
              <w:rPr>
                <w:rFonts w:ascii="Times New Roman" w:hAnsi="Times New Roman" w:cs="Times New Roman"/>
                <w:color w:val="auto"/>
                <w:sz w:val="12"/>
                <w:szCs w:val="12"/>
                <w:lang w:val="en-US" w:eastAsia="en-US"/>
              </w:rPr>
              <w:t>____________</w:t>
            </w:r>
          </w:p>
        </w:tc>
        <w:tc>
          <w:tcPr>
            <w:tcW w:w="7229" w:type="dxa"/>
          </w:tcPr>
          <w:p w14:paraId="154EBE81" w14:textId="77777777" w:rsidR="00495AF8" w:rsidRPr="00E0772F" w:rsidRDefault="00495AF8" w:rsidP="00495AF8">
            <w:pPr>
              <w:widowControl/>
              <w:jc w:val="center"/>
              <w:rPr>
                <w:rFonts w:ascii="Times New Roman" w:hAnsi="Times New Roman" w:cs="Times New Roman"/>
                <w:b/>
                <w:color w:val="auto"/>
                <w:spacing w:val="-8"/>
                <w:sz w:val="26"/>
                <w:szCs w:val="26"/>
                <w:lang w:val="en-US" w:eastAsia="en-US"/>
              </w:rPr>
            </w:pPr>
            <w:r w:rsidRPr="00E0772F">
              <w:rPr>
                <w:rFonts w:ascii="Times New Roman" w:hAnsi="Times New Roman" w:cs="Times New Roman"/>
                <w:b/>
                <w:noProof/>
                <w:color w:val="auto"/>
                <w:spacing w:val="-8"/>
                <w:sz w:val="26"/>
                <w:szCs w:val="26"/>
                <w:lang w:val="en-US" w:eastAsia="en-US"/>
              </w:rPr>
              <w:t>CỘNG HÒA XÃ HỘI CHỦ NGHĨA VIỆT NAM</w:t>
            </w:r>
          </w:p>
          <w:p w14:paraId="08EF28A4" w14:textId="77777777" w:rsidR="00495AF8" w:rsidRPr="00E0772F" w:rsidRDefault="00495AF8" w:rsidP="00495AF8">
            <w:pPr>
              <w:widowControl/>
              <w:jc w:val="center"/>
              <w:rPr>
                <w:rFonts w:ascii="Times New Roman" w:hAnsi="Times New Roman" w:cs="Times New Roman"/>
                <w:color w:val="auto"/>
                <w:sz w:val="26"/>
                <w:szCs w:val="26"/>
                <w:lang w:val="en-US" w:eastAsia="en-US"/>
              </w:rPr>
            </w:pPr>
            <w:r w:rsidRPr="00E0772F">
              <w:rPr>
                <w:rFonts w:ascii="Times New Roman" w:hAnsi="Times New Roman" w:cs="Times New Roman"/>
                <w:b/>
                <w:color w:val="auto"/>
                <w:sz w:val="26"/>
                <w:szCs w:val="26"/>
                <w:lang w:val="en-US" w:eastAsia="en-US"/>
              </w:rPr>
              <w:t xml:space="preserve">Độc lập </w:t>
            </w:r>
            <w:r w:rsidRPr="000340BA">
              <w:rPr>
                <w:rFonts w:ascii="Times New Roman" w:hAnsi="Times New Roman" w:cs="Times New Roman"/>
                <w:color w:val="auto"/>
                <w:sz w:val="26"/>
                <w:szCs w:val="26"/>
                <w:lang w:val="en-US" w:eastAsia="en-US"/>
              </w:rPr>
              <w:t>-</w:t>
            </w:r>
            <w:r w:rsidRPr="00E0772F">
              <w:rPr>
                <w:rFonts w:ascii="Times New Roman" w:hAnsi="Times New Roman" w:cs="Times New Roman"/>
                <w:b/>
                <w:color w:val="auto"/>
                <w:sz w:val="26"/>
                <w:szCs w:val="26"/>
                <w:lang w:val="en-US" w:eastAsia="en-US"/>
              </w:rPr>
              <w:t xml:space="preserve"> Tự do </w:t>
            </w:r>
            <w:r w:rsidRPr="000340BA">
              <w:rPr>
                <w:rFonts w:ascii="Times New Roman" w:hAnsi="Times New Roman" w:cs="Times New Roman"/>
                <w:color w:val="auto"/>
                <w:sz w:val="26"/>
                <w:szCs w:val="26"/>
                <w:lang w:val="en-US" w:eastAsia="en-US"/>
              </w:rPr>
              <w:t>-</w:t>
            </w:r>
            <w:r w:rsidRPr="00E0772F">
              <w:rPr>
                <w:rFonts w:ascii="Times New Roman" w:hAnsi="Times New Roman" w:cs="Times New Roman"/>
                <w:b/>
                <w:color w:val="auto"/>
                <w:sz w:val="26"/>
                <w:szCs w:val="26"/>
                <w:lang w:val="en-US" w:eastAsia="en-US"/>
              </w:rPr>
              <w:t xml:space="preserve"> Hạnh phúc</w:t>
            </w:r>
          </w:p>
          <w:p w14:paraId="59F6E3E2" w14:textId="4BC2C9DB" w:rsidR="00495AF8" w:rsidRPr="00E0772F" w:rsidRDefault="00495AF8" w:rsidP="00495AF8">
            <w:pPr>
              <w:widowControl/>
              <w:jc w:val="center"/>
              <w:rPr>
                <w:rFonts w:ascii="Times New Roman" w:hAnsi="Times New Roman" w:cs="Times New Roman"/>
                <w:i/>
                <w:iCs/>
                <w:color w:val="auto"/>
                <w:sz w:val="12"/>
                <w:szCs w:val="12"/>
                <w:lang w:val="en-US" w:eastAsia="en-US"/>
              </w:rPr>
            </w:pPr>
            <w:r w:rsidRPr="00E0772F">
              <w:rPr>
                <w:rFonts w:ascii="Times New Roman" w:hAnsi="Times New Roman" w:cs="Times New Roman"/>
                <w:color w:val="auto"/>
                <w:sz w:val="12"/>
                <w:szCs w:val="12"/>
                <w:lang w:val="en-US" w:eastAsia="en-US"/>
              </w:rPr>
              <w:t>_________________________</w:t>
            </w:r>
            <w:r w:rsidR="0077422F" w:rsidRPr="00E0772F">
              <w:rPr>
                <w:rFonts w:ascii="Times New Roman" w:hAnsi="Times New Roman" w:cs="Times New Roman"/>
                <w:color w:val="auto"/>
                <w:sz w:val="12"/>
                <w:szCs w:val="12"/>
                <w:lang w:val="en-US" w:eastAsia="en-US"/>
              </w:rPr>
              <w:t>__________________</w:t>
            </w:r>
            <w:r w:rsidR="000340BA">
              <w:rPr>
                <w:rFonts w:ascii="Times New Roman" w:hAnsi="Times New Roman" w:cs="Times New Roman"/>
                <w:color w:val="auto"/>
                <w:sz w:val="12"/>
                <w:szCs w:val="12"/>
                <w:lang w:val="en-US" w:eastAsia="en-US"/>
              </w:rPr>
              <w:t>_________</w:t>
            </w:r>
          </w:p>
        </w:tc>
      </w:tr>
      <w:tr w:rsidR="005A1519" w:rsidRPr="00E0772F" w14:paraId="4B8EBB94" w14:textId="77777777" w:rsidTr="000340BA">
        <w:trPr>
          <w:cantSplit/>
          <w:trHeight w:val="418"/>
        </w:trPr>
        <w:tc>
          <w:tcPr>
            <w:tcW w:w="7088" w:type="dxa"/>
          </w:tcPr>
          <w:p w14:paraId="31637279" w14:textId="1BE56616" w:rsidR="00495AF8" w:rsidRPr="00E0772F" w:rsidRDefault="00495AF8" w:rsidP="00495AF8">
            <w:pPr>
              <w:widowControl/>
              <w:tabs>
                <w:tab w:val="left" w:pos="977"/>
              </w:tabs>
              <w:jc w:val="center"/>
              <w:rPr>
                <w:rFonts w:ascii="Times New Roman" w:hAnsi="Times New Roman" w:cs="Times New Roman"/>
                <w:color w:val="auto"/>
                <w:sz w:val="26"/>
                <w:szCs w:val="26"/>
                <w:lang w:val="en-US" w:eastAsia="en-US"/>
              </w:rPr>
            </w:pPr>
          </w:p>
        </w:tc>
        <w:tc>
          <w:tcPr>
            <w:tcW w:w="7229" w:type="dxa"/>
          </w:tcPr>
          <w:p w14:paraId="4F2B4F51" w14:textId="2DE89C74" w:rsidR="00495AF8" w:rsidRPr="002D7EC2" w:rsidRDefault="00495AF8" w:rsidP="00495AF8">
            <w:pPr>
              <w:widowControl/>
              <w:jc w:val="center"/>
              <w:rPr>
                <w:rFonts w:ascii="Times New Roman Italic" w:hAnsi="Times New Roman Italic" w:cs="Times New Roman"/>
                <w:b/>
                <w:noProof/>
                <w:color w:val="auto"/>
                <w:sz w:val="26"/>
                <w:szCs w:val="26"/>
                <w:lang w:val="en-US" w:eastAsia="en-US"/>
              </w:rPr>
            </w:pPr>
            <w:r w:rsidRPr="002D7EC2">
              <w:rPr>
                <w:rFonts w:ascii="Times New Roman Italic" w:hAnsi="Times New Roman Italic" w:cs="Times New Roman"/>
                <w:i/>
                <w:iCs/>
                <w:color w:val="auto"/>
                <w:sz w:val="26"/>
                <w:szCs w:val="26"/>
                <w:lang w:val="en-US" w:eastAsia="en-US"/>
              </w:rPr>
              <w:t xml:space="preserve">Thành phố Hồ Chí Minh, ngày  </w:t>
            </w:r>
            <w:r w:rsidR="0050458A" w:rsidRPr="002D7EC2">
              <w:rPr>
                <w:rFonts w:ascii="Times New Roman Italic" w:hAnsi="Times New Roman Italic" w:cs="Times New Roman"/>
                <w:i/>
                <w:iCs/>
                <w:color w:val="auto"/>
                <w:sz w:val="26"/>
                <w:szCs w:val="26"/>
                <w:lang w:val="en-US" w:eastAsia="en-US"/>
              </w:rPr>
              <w:t xml:space="preserve"> </w:t>
            </w:r>
            <w:r w:rsidRPr="002D7EC2">
              <w:rPr>
                <w:rFonts w:ascii="Times New Roman Italic" w:hAnsi="Times New Roman Italic" w:cs="Times New Roman"/>
                <w:i/>
                <w:iCs/>
                <w:color w:val="auto"/>
                <w:sz w:val="26"/>
                <w:szCs w:val="26"/>
                <w:lang w:val="en-US" w:eastAsia="en-US"/>
              </w:rPr>
              <w:t xml:space="preserve"> </w:t>
            </w:r>
            <w:r w:rsidR="0050458A" w:rsidRPr="002D7EC2">
              <w:rPr>
                <w:rFonts w:ascii="Times New Roman Italic" w:hAnsi="Times New Roman Italic" w:cs="Times New Roman"/>
                <w:i/>
                <w:iCs/>
                <w:color w:val="auto"/>
                <w:sz w:val="26"/>
                <w:szCs w:val="26"/>
                <w:lang w:val="en-US" w:eastAsia="en-US"/>
              </w:rPr>
              <w:t xml:space="preserve"> </w:t>
            </w:r>
            <w:r w:rsidRPr="002D7EC2">
              <w:rPr>
                <w:rFonts w:ascii="Times New Roman Italic" w:hAnsi="Times New Roman Italic" w:cs="Times New Roman"/>
                <w:i/>
                <w:iCs/>
                <w:color w:val="auto"/>
                <w:sz w:val="26"/>
                <w:szCs w:val="26"/>
                <w:lang w:val="en-US" w:eastAsia="en-US"/>
              </w:rPr>
              <w:t xml:space="preserve"> tháng   </w:t>
            </w:r>
            <w:r w:rsidR="0050458A" w:rsidRPr="002D7EC2">
              <w:rPr>
                <w:rFonts w:ascii="Times New Roman Italic" w:hAnsi="Times New Roman Italic" w:cs="Times New Roman"/>
                <w:i/>
                <w:iCs/>
                <w:color w:val="auto"/>
                <w:sz w:val="26"/>
                <w:szCs w:val="26"/>
                <w:lang w:val="en-US" w:eastAsia="en-US"/>
              </w:rPr>
              <w:t xml:space="preserve"> </w:t>
            </w:r>
            <w:r w:rsidR="00132F0E" w:rsidRPr="002D7EC2">
              <w:rPr>
                <w:rFonts w:ascii="Times New Roman Italic" w:hAnsi="Times New Roman Italic" w:cs="Times New Roman"/>
                <w:i/>
                <w:iCs/>
                <w:color w:val="auto"/>
                <w:sz w:val="26"/>
                <w:szCs w:val="26"/>
                <w:lang w:val="en-US" w:eastAsia="en-US"/>
              </w:rPr>
              <w:t xml:space="preserve"> năm</w:t>
            </w:r>
            <w:r w:rsidR="00AC1C64" w:rsidRPr="002D7EC2">
              <w:rPr>
                <w:rFonts w:ascii="Times New Roman Italic" w:hAnsi="Times New Roman Italic" w:cs="Times New Roman"/>
                <w:i/>
                <w:iCs/>
                <w:color w:val="auto"/>
                <w:sz w:val="26"/>
                <w:szCs w:val="26"/>
                <w:lang w:val="en-US" w:eastAsia="en-US"/>
              </w:rPr>
              <w:t xml:space="preserve"> 2026</w:t>
            </w:r>
          </w:p>
        </w:tc>
      </w:tr>
    </w:tbl>
    <w:p w14:paraId="3DBEFED9" w14:textId="7B4B95BD" w:rsidR="00653FC5" w:rsidRPr="00E0772F" w:rsidRDefault="00653FC5" w:rsidP="00653FC5">
      <w:pPr>
        <w:spacing w:before="120"/>
        <w:rPr>
          <w:rFonts w:ascii="Times New Roman" w:hAnsi="Times New Roman" w:cs="Times New Roman"/>
          <w:b/>
          <w:bCs/>
          <w:color w:val="auto"/>
          <w:sz w:val="26"/>
          <w:szCs w:val="26"/>
          <w:lang w:val="en-US"/>
        </w:rPr>
      </w:pPr>
    </w:p>
    <w:p w14:paraId="63439BC1" w14:textId="77777777" w:rsidR="00695F44" w:rsidRPr="00E0772F" w:rsidRDefault="00653FC5" w:rsidP="00EA28B1">
      <w:pPr>
        <w:spacing w:before="120" w:after="120" w:line="288" w:lineRule="auto"/>
        <w:jc w:val="center"/>
        <w:rPr>
          <w:rFonts w:ascii="Times New Roman" w:hAnsi="Times New Roman" w:cs="Times New Roman"/>
          <w:b/>
          <w:bCs/>
          <w:color w:val="auto"/>
          <w:sz w:val="28"/>
          <w:szCs w:val="28"/>
          <w:lang w:val="en-US"/>
        </w:rPr>
      </w:pPr>
      <w:r w:rsidRPr="00E0772F">
        <w:rPr>
          <w:rFonts w:ascii="Times New Roman" w:hAnsi="Times New Roman" w:cs="Times New Roman"/>
          <w:b/>
          <w:bCs/>
          <w:color w:val="auto"/>
          <w:sz w:val="28"/>
          <w:szCs w:val="28"/>
        </w:rPr>
        <w:t>BẢN SO SÁNH</w:t>
      </w:r>
      <w:r w:rsidR="00695F44" w:rsidRPr="00E0772F">
        <w:rPr>
          <w:rFonts w:ascii="Times New Roman" w:hAnsi="Times New Roman" w:cs="Times New Roman"/>
          <w:b/>
          <w:bCs/>
          <w:color w:val="auto"/>
          <w:sz w:val="28"/>
          <w:szCs w:val="28"/>
          <w:lang w:val="en-US"/>
        </w:rPr>
        <w:t>, THUYẾT MINH</w:t>
      </w:r>
    </w:p>
    <w:p w14:paraId="2C1C9AEF" w14:textId="6AEBBB91" w:rsidR="00653FC5" w:rsidRPr="000340BA" w:rsidRDefault="00695F44" w:rsidP="00EA28B1">
      <w:pPr>
        <w:spacing w:before="120" w:after="120" w:line="288" w:lineRule="auto"/>
        <w:jc w:val="center"/>
        <w:rPr>
          <w:rFonts w:ascii="Times New Roman Bold" w:hAnsi="Times New Roman Bold" w:cs="Times New Roman"/>
          <w:b/>
          <w:bCs/>
          <w:color w:val="auto"/>
          <w:spacing w:val="-2"/>
          <w:sz w:val="28"/>
          <w:szCs w:val="28"/>
          <w:lang w:val="en-US"/>
        </w:rPr>
      </w:pPr>
      <w:r w:rsidRPr="000340BA">
        <w:rPr>
          <w:rFonts w:ascii="Times New Roman Bold" w:hAnsi="Times New Roman Bold" w:cs="Times New Roman"/>
          <w:b/>
          <w:bCs/>
          <w:color w:val="auto"/>
          <w:spacing w:val="-2"/>
          <w:sz w:val="28"/>
          <w:szCs w:val="28"/>
        </w:rPr>
        <w:t>dự thảo</w:t>
      </w:r>
      <w:r w:rsidR="00AC1C64" w:rsidRPr="000340BA">
        <w:rPr>
          <w:rFonts w:ascii="Times New Roman Bold" w:hAnsi="Times New Roman Bold" w:cs="Times New Roman"/>
          <w:b/>
          <w:bCs/>
          <w:color w:val="auto"/>
          <w:spacing w:val="-2"/>
          <w:sz w:val="28"/>
          <w:szCs w:val="28"/>
          <w:lang w:val="en-US"/>
        </w:rPr>
        <w:t xml:space="preserve"> Nghị quyết thay thế</w:t>
      </w:r>
      <w:r w:rsidR="00AC1C64" w:rsidRPr="000340BA">
        <w:rPr>
          <w:rFonts w:ascii="Times New Roman Bold" w:hAnsi="Times New Roman Bold" w:cs="Times New Roman"/>
          <w:b/>
          <w:bCs/>
          <w:spacing w:val="-2"/>
          <w:sz w:val="28"/>
          <w:szCs w:val="28"/>
          <w:lang w:val="en-US"/>
        </w:rPr>
        <w:t xml:space="preserve">, </w:t>
      </w:r>
      <w:r w:rsidR="00D81E61" w:rsidRPr="000340BA">
        <w:rPr>
          <w:rFonts w:ascii="Times New Roman Bold" w:hAnsi="Times New Roman Bold" w:cs="Times New Roman"/>
          <w:b/>
          <w:bCs/>
          <w:spacing w:val="-2"/>
          <w:sz w:val="28"/>
          <w:szCs w:val="28"/>
        </w:rPr>
        <w:t>Nghị quyết số 29/2024/NQ-HĐND ngày 12 tháng 12 năm 2024 của Hội đồng nhân dân tỉnh Bình Dương</w:t>
      </w:r>
      <w:r w:rsidR="007A7EE6" w:rsidRPr="000340BA">
        <w:rPr>
          <w:rFonts w:ascii="Times New Roman Bold" w:hAnsi="Times New Roman Bold" w:cs="Times New Roman"/>
          <w:b/>
          <w:bCs/>
          <w:spacing w:val="-2"/>
          <w:sz w:val="28"/>
          <w:szCs w:val="28"/>
          <w:lang w:val="en-US"/>
        </w:rPr>
        <w:t xml:space="preserve">; </w:t>
      </w:r>
      <w:r w:rsidR="007A7EE6" w:rsidRPr="000340BA">
        <w:rPr>
          <w:rFonts w:ascii="Times New Roman Bold" w:hAnsi="Times New Roman Bold" w:cs="Times New Roman"/>
          <w:b/>
          <w:bCs/>
          <w:spacing w:val="-2"/>
          <w:sz w:val="28"/>
          <w:szCs w:val="28"/>
        </w:rPr>
        <w:t>Nghị quyết số 118/2019/NQ-HĐND ngày 13 tháng 12 năm 2019</w:t>
      </w:r>
      <w:r w:rsidR="007A7EE6" w:rsidRPr="000340BA">
        <w:rPr>
          <w:rFonts w:ascii="Times New Roman Bold" w:hAnsi="Times New Roman Bold" w:cs="Times New Roman"/>
          <w:b/>
          <w:bCs/>
          <w:spacing w:val="-2"/>
          <w:sz w:val="28"/>
          <w:szCs w:val="28"/>
          <w:lang w:val="en-US"/>
        </w:rPr>
        <w:t xml:space="preserve">, </w:t>
      </w:r>
      <w:r w:rsidR="004F6236" w:rsidRPr="000340BA">
        <w:rPr>
          <w:rFonts w:ascii="Times New Roman Bold" w:hAnsi="Times New Roman Bold" w:cs="Times New Roman"/>
          <w:b/>
          <w:bCs/>
          <w:spacing w:val="-2"/>
          <w:sz w:val="28"/>
          <w:szCs w:val="28"/>
        </w:rPr>
        <w:t>Nghị quyết số 04/2021/NQ-HĐND ngày 17 tháng 8 năm 2021</w:t>
      </w:r>
      <w:r w:rsidR="00AC1C64" w:rsidRPr="000340BA">
        <w:rPr>
          <w:rFonts w:ascii="Times New Roman Bold" w:hAnsi="Times New Roman Bold" w:cs="Times New Roman"/>
          <w:b/>
          <w:bCs/>
          <w:spacing w:val="-2"/>
          <w:sz w:val="28"/>
          <w:szCs w:val="28"/>
          <w:lang w:val="en-US"/>
        </w:rPr>
        <w:t xml:space="preserve"> </w:t>
      </w:r>
      <w:r w:rsidR="007A7EE6" w:rsidRPr="000340BA">
        <w:rPr>
          <w:rFonts w:ascii="Times New Roman Bold" w:hAnsi="Times New Roman Bold" w:cs="Times New Roman"/>
          <w:b/>
          <w:bCs/>
          <w:spacing w:val="-2"/>
          <w:sz w:val="28"/>
          <w:szCs w:val="28"/>
        </w:rPr>
        <w:t>của Hội đồng nhân dân tỉnh Bà Rịa – Vũng Tàu</w:t>
      </w:r>
    </w:p>
    <w:p w14:paraId="60708AD4" w14:textId="77777777" w:rsidR="00495AF8" w:rsidRPr="00E0772F" w:rsidRDefault="00695F44" w:rsidP="00495AF8">
      <w:pPr>
        <w:jc w:val="center"/>
        <w:rPr>
          <w:rFonts w:ascii="Times New Roman" w:hAnsi="Times New Roman" w:cs="Times New Roman"/>
          <w:b/>
          <w:bCs/>
          <w:color w:val="auto"/>
          <w:sz w:val="26"/>
          <w:szCs w:val="26"/>
        </w:rPr>
      </w:pPr>
      <w:r w:rsidRPr="00E0772F">
        <w:rPr>
          <w:rFonts w:ascii="Times New Roman" w:hAnsi="Times New Roman" w:cs="Times New Roman"/>
          <w:b/>
          <w:bCs/>
          <w:noProof/>
          <w:color w:val="auto"/>
          <w:sz w:val="26"/>
          <w:szCs w:val="26"/>
          <w:lang w:val="en-US" w:eastAsia="en-US"/>
        </w:rPr>
        <mc:AlternateContent>
          <mc:Choice Requires="wps">
            <w:drawing>
              <wp:anchor distT="0" distB="0" distL="114300" distR="114300" simplePos="0" relativeHeight="251660288" behindDoc="0" locked="0" layoutInCell="1" allowOverlap="1" wp14:anchorId="6FA0D89A" wp14:editId="0DB6D3A2">
                <wp:simplePos x="0" y="0"/>
                <wp:positionH relativeFrom="column">
                  <wp:posOffset>3508375</wp:posOffset>
                </wp:positionH>
                <wp:positionV relativeFrom="paragraph">
                  <wp:posOffset>22530</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4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EA72AE"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25pt,1.75pt" to="45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" strokecolor="black [3213]" strokeweight=".5pt">
                <v:stroke joinstyle="miter"/>
              </v:line>
            </w:pict>
          </mc:Fallback>
        </mc:AlternateContent>
      </w:r>
    </w:p>
    <w:p w14:paraId="588AD635" w14:textId="77777777" w:rsidR="003C258D" w:rsidRPr="005A1519" w:rsidRDefault="003C258D" w:rsidP="00FB38F2">
      <w:pPr>
        <w:spacing w:before="120" w:after="120"/>
        <w:ind w:firstLine="709"/>
        <w:jc w:val="both"/>
        <w:rPr>
          <w:rFonts w:ascii="Times New Roman" w:hAnsi="Times New Roman" w:cs="Times New Roman"/>
          <w:b/>
          <w:bCs/>
          <w:color w:val="auto"/>
          <w:sz w:val="28"/>
          <w:szCs w:val="28"/>
        </w:rPr>
      </w:pPr>
      <w:r>
        <w:rPr>
          <w:rFonts w:ascii="Times New Roman" w:hAnsi="Times New Roman" w:cs="Times New Roman"/>
          <w:lang w:val="en-GB"/>
        </w:rPr>
        <w:tab/>
      </w:r>
      <w:r w:rsidRPr="005A1519">
        <w:rPr>
          <w:rFonts w:ascii="Times New Roman" w:hAnsi="Times New Roman" w:cs="Times New Roman"/>
          <w:b/>
          <w:bCs/>
          <w:color w:val="auto"/>
          <w:sz w:val="28"/>
          <w:szCs w:val="28"/>
        </w:rPr>
        <w:t>1. Đối với văn bản sửa đổi, bổ sung, thay thế</w:t>
      </w:r>
    </w:p>
    <w:p w14:paraId="39F08AAA" w14:textId="77777777" w:rsidR="00201F68" w:rsidRPr="00E0772F" w:rsidRDefault="00695F44" w:rsidP="00FB38F2">
      <w:pPr>
        <w:pStyle w:val="Normal1"/>
        <w:spacing w:before="120" w:after="120" w:line="288" w:lineRule="auto"/>
        <w:ind w:firstLine="709"/>
        <w:jc w:val="both"/>
        <w:rPr>
          <w:lang w:val="en-GB"/>
        </w:rPr>
      </w:pPr>
      <w:r w:rsidRPr="00E0772F">
        <w:rPr>
          <w:lang w:val="en-GB"/>
        </w:rPr>
        <w:tab/>
      </w:r>
      <w:r w:rsidR="00201F68" w:rsidRPr="00E0772F">
        <w:rPr>
          <w:lang w:val="en-GB"/>
        </w:rPr>
        <w:t xml:space="preserve">Thực hiện </w:t>
      </w:r>
      <w:r w:rsidR="00201F68" w:rsidRPr="00666085">
        <w:rPr>
          <w:lang w:val="en-GB"/>
        </w:rPr>
        <w:t>Nghị quyết số 202/2025/QH15 ngày 12 tháng 6 năm 2025 của Quốc hội</w:t>
      </w:r>
      <w:r w:rsidR="00201F68" w:rsidRPr="00E0772F">
        <w:rPr>
          <w:lang w:val="en-GB"/>
        </w:rPr>
        <w:t xml:space="preserve"> về việc sắp xếp đơn vị hành chính cấp tỉnh, toàn bộ diện tích tự nhiên và quy mô dân số của Thành phố Hồ Chí Minh, tỉnh Bà Rịa - Vũng Tàu và tỉnh Bình Dương đã được sáp nhập để hình thành </w:t>
      </w:r>
      <w:r w:rsidR="00201F68" w:rsidRPr="00666085">
        <w:rPr>
          <w:lang w:val="en-GB"/>
        </w:rPr>
        <w:t>Thành phố Hồ Chí Minh (mới)</w:t>
      </w:r>
      <w:r w:rsidR="00201F68" w:rsidRPr="00E0772F">
        <w:rPr>
          <w:lang w:val="en-GB"/>
        </w:rPr>
        <w:t>, chính thức hoạt động từ ngày 01 tháng 7 năm 2025.</w:t>
      </w:r>
    </w:p>
    <w:p w14:paraId="5C0461AA" w14:textId="754CFF07" w:rsidR="00DF3995" w:rsidRDefault="00DF3995" w:rsidP="00FB38F2">
      <w:pPr>
        <w:pStyle w:val="Normal1"/>
        <w:spacing w:before="120" w:after="120" w:line="288" w:lineRule="auto"/>
        <w:ind w:firstLine="709"/>
        <w:jc w:val="both"/>
        <w:rPr>
          <w:lang w:val="en-GB"/>
        </w:rPr>
      </w:pPr>
      <w:r w:rsidRPr="00E0772F">
        <w:rPr>
          <w:lang w:val="en-GB"/>
        </w:rPr>
        <w:tab/>
      </w:r>
      <w:r w:rsidR="008637B8">
        <w:rPr>
          <w:lang w:val="en-GB"/>
        </w:rPr>
        <w:t>Qua quá trình rà soát các văn bản quy phạm pháp luật quy địn</w:t>
      </w:r>
      <w:r w:rsidR="00AC1C64">
        <w:rPr>
          <w:lang w:val="en-GB"/>
        </w:rPr>
        <w:t>h chế độ mức chi các giải thi đấu</w:t>
      </w:r>
      <w:r w:rsidR="00BD55C9">
        <w:rPr>
          <w:lang w:val="en-GB"/>
        </w:rPr>
        <w:t xml:space="preserve"> thể thao thuộc lĩnh vực</w:t>
      </w:r>
      <w:r w:rsidR="008637B8">
        <w:rPr>
          <w:lang w:val="en-GB"/>
        </w:rPr>
        <w:t xml:space="preserve"> Thể dục thể thao của 3 khu vực: Thành phố Hồ Chí Minh (cũ), </w:t>
      </w:r>
      <w:r w:rsidR="008637B8" w:rsidRPr="00E0772F">
        <w:rPr>
          <w:lang w:val="en-GB"/>
        </w:rPr>
        <w:t>tỉnh Bà Rịa - Vũng Tàu và tỉnh Bình Dương</w:t>
      </w:r>
      <w:r w:rsidR="008637B8">
        <w:rPr>
          <w:lang w:val="en-GB"/>
        </w:rPr>
        <w:t xml:space="preserve"> cho thấy mỗi khu vực có hệ thống văn bản quy phạm pháp luật riêng quy định về vấn đề này. Tuy nhiên mỗi một khu vực có những quy định riêng, không thống nhất và đồng bộ. </w:t>
      </w:r>
      <w:r w:rsidR="00AB7805">
        <w:rPr>
          <w:lang w:val="en-GB"/>
        </w:rPr>
        <w:t>Cụ thể như sau:</w:t>
      </w:r>
    </w:p>
    <w:p w14:paraId="55AAE08C" w14:textId="3EFFCCEB" w:rsidR="00AB7805" w:rsidRPr="00CA45A0" w:rsidRDefault="00AB7805" w:rsidP="00FB38F2">
      <w:pPr>
        <w:pStyle w:val="Normal1"/>
        <w:spacing w:before="120" w:after="120" w:line="288" w:lineRule="auto"/>
        <w:ind w:firstLine="709"/>
        <w:jc w:val="both"/>
        <w:rPr>
          <w:lang w:val="en-GB"/>
        </w:rPr>
      </w:pPr>
      <w:r w:rsidRPr="00CA45A0">
        <w:rPr>
          <w:lang w:val="en-GB"/>
        </w:rPr>
        <w:t>- Khu vực Thành phố Hồ C</w:t>
      </w:r>
      <w:r w:rsidR="00BD55C9" w:rsidRPr="00CA45A0">
        <w:rPr>
          <w:lang w:val="en-GB"/>
        </w:rPr>
        <w:t>hí Minh (khu vực 1) mức chi tại các giải thi đấu thể thao được áp dụng theo (Thông tư 200/2011/TTLT-BTC-BVHTTDL) khi thực hiện theo quy định chi tiêu tài chính tại các giải thể thao</w:t>
      </w:r>
      <w:r w:rsidRPr="00CA45A0">
        <w:rPr>
          <w:lang w:val="en-GB"/>
        </w:rPr>
        <w:t>.</w:t>
      </w:r>
    </w:p>
    <w:p w14:paraId="7A5E8BC8" w14:textId="7B28D79B" w:rsidR="00CA45A0" w:rsidRPr="002D7EC2" w:rsidRDefault="00AB7805" w:rsidP="00FB38F2">
      <w:pPr>
        <w:pStyle w:val="Normal1"/>
        <w:spacing w:before="120" w:after="120" w:line="288" w:lineRule="auto"/>
        <w:ind w:firstLine="709"/>
        <w:jc w:val="both"/>
        <w:rPr>
          <w:lang w:val="en-GB"/>
        </w:rPr>
      </w:pPr>
      <w:r w:rsidRPr="002D7EC2">
        <w:rPr>
          <w:lang w:val="en-GB"/>
        </w:rPr>
        <w:lastRenderedPageBreak/>
        <w:t>- Khu vực Bình Dương (khu vực 2) (Nghị quyế</w:t>
      </w:r>
      <w:r w:rsidR="00BD55C9" w:rsidRPr="002D7EC2">
        <w:rPr>
          <w:lang w:val="en-GB"/>
        </w:rPr>
        <w:t>t 29/2024/NQ-HĐND) có mức chi thấp hơn so với (Thông tư 200/2011/TTLT-BTC-BVHTTDL)</w:t>
      </w:r>
      <w:r w:rsidR="00D14E52" w:rsidRPr="002D7EC2">
        <w:rPr>
          <w:lang w:val="en-GB"/>
        </w:rPr>
        <w:t xml:space="preserve"> mà Thành phố Hồ Chí Minh áp dụng, đồng thời có thêm mức chi cho cấp quận, huyện và phường xã</w:t>
      </w:r>
      <w:r w:rsidR="00B409FE" w:rsidRPr="002D7EC2">
        <w:rPr>
          <w:lang w:val="en-GB"/>
        </w:rPr>
        <w:t>.</w:t>
      </w:r>
      <w:r w:rsidR="00CA45A0" w:rsidRPr="002D7EC2">
        <w:rPr>
          <w:lang w:val="en-GB"/>
        </w:rPr>
        <w:t xml:space="preserve"> Ngoài ra còn có mức chi cho các đội thể dục thể thao, nghệ thuật tham gia biểu diễn chào mừng các sự kiện do Ban Tổ chức Lễ Thành phố điều động.</w:t>
      </w:r>
    </w:p>
    <w:p w14:paraId="6AFE6B94" w14:textId="13FB6807" w:rsidR="00666085" w:rsidRPr="00FB38F2" w:rsidRDefault="00AB7805" w:rsidP="00FB38F2">
      <w:pPr>
        <w:pStyle w:val="Normal1"/>
        <w:spacing w:before="120" w:after="120" w:line="288" w:lineRule="auto"/>
        <w:ind w:firstLine="709"/>
        <w:jc w:val="both"/>
        <w:rPr>
          <w:spacing w:val="-2"/>
          <w:lang w:val="en-GB"/>
        </w:rPr>
      </w:pPr>
      <w:r w:rsidRPr="00FB38F2">
        <w:rPr>
          <w:spacing w:val="-2"/>
          <w:lang w:val="en-GB"/>
        </w:rPr>
        <w:t>- Khu vực Bà Rịa – Vũng Tàu (khu vực 3) (Nghị quyết 118/2019/NQ-</w:t>
      </w:r>
      <w:r w:rsidR="00D14E52" w:rsidRPr="00FB38F2">
        <w:rPr>
          <w:spacing w:val="-2"/>
          <w:lang w:val="en-GB"/>
        </w:rPr>
        <w:t>HĐND</w:t>
      </w:r>
      <w:r w:rsidRPr="00FB38F2">
        <w:rPr>
          <w:spacing w:val="-2"/>
          <w:lang w:val="en-GB"/>
        </w:rPr>
        <w:t xml:space="preserve">, Nghị quyết 04/2021/NQ-HĐND) </w:t>
      </w:r>
      <w:r w:rsidR="00D14E52" w:rsidRPr="00FB38F2">
        <w:rPr>
          <w:spacing w:val="-2"/>
          <w:lang w:val="en-GB"/>
        </w:rPr>
        <w:t>có mức chi</w:t>
      </w:r>
      <w:r w:rsidR="00666085" w:rsidRPr="00FB38F2">
        <w:rPr>
          <w:spacing w:val="-2"/>
          <w:lang w:val="en-GB"/>
        </w:rPr>
        <w:t xml:space="preserve"> tại các </w:t>
      </w:r>
      <w:r w:rsidR="002D7EC2">
        <w:rPr>
          <w:spacing w:val="-2"/>
          <w:lang w:val="en-GB"/>
        </w:rPr>
        <w:t xml:space="preserve">giải </w:t>
      </w:r>
      <w:r w:rsidR="00666085" w:rsidRPr="00FB38F2">
        <w:rPr>
          <w:spacing w:val="-2"/>
          <w:lang w:val="en-GB"/>
        </w:rPr>
        <w:t>thể thao</w:t>
      </w:r>
      <w:r w:rsidR="00D14E52" w:rsidRPr="00FB38F2">
        <w:rPr>
          <w:spacing w:val="-2"/>
          <w:lang w:val="en-GB"/>
        </w:rPr>
        <w:t xml:space="preserve"> cao hơn so với (T</w:t>
      </w:r>
      <w:r w:rsidR="00666085" w:rsidRPr="00FB38F2">
        <w:rPr>
          <w:spacing w:val="-2"/>
          <w:lang w:val="en-GB"/>
        </w:rPr>
        <w:t xml:space="preserve">hông tư </w:t>
      </w:r>
      <w:r w:rsidR="00D14E52" w:rsidRPr="00FB38F2">
        <w:rPr>
          <w:spacing w:val="-2"/>
          <w:lang w:val="en-GB"/>
        </w:rPr>
        <w:t>200/2011/TTLT-BTC-BVHTTDL)</w:t>
      </w:r>
      <w:r w:rsidR="00666085" w:rsidRPr="00FB38F2">
        <w:rPr>
          <w:spacing w:val="-2"/>
          <w:lang w:val="en-GB"/>
        </w:rPr>
        <w:t xml:space="preserve"> và (Nghị quyết 29/2024/NQ-HĐND của Bình Dương).</w:t>
      </w:r>
    </w:p>
    <w:p w14:paraId="0B6BB2DE" w14:textId="5F3D9C00" w:rsidR="00666085" w:rsidRPr="00666085" w:rsidRDefault="00666085" w:rsidP="00FB38F2">
      <w:pPr>
        <w:pStyle w:val="Normal1"/>
        <w:spacing w:before="120" w:after="120" w:line="288" w:lineRule="auto"/>
        <w:ind w:firstLine="709"/>
        <w:jc w:val="both"/>
        <w:rPr>
          <w:lang w:val="en-GB"/>
        </w:rPr>
      </w:pPr>
      <w:r w:rsidRPr="00666085">
        <w:rPr>
          <w:lang w:val="en-GB"/>
        </w:rPr>
        <w:t>Căn cứ Thông tư số </w:t>
      </w:r>
      <w:hyperlink r:id="rId7" w:tgtFrame="_blank" w:tooltip="Thông tư 86/2020/TT-BTC" w:history="1">
        <w:r w:rsidRPr="00666085">
          <w:rPr>
            <w:lang w:val="en-GB"/>
          </w:rPr>
          <w:t>117/2025/TT-BTC</w:t>
        </w:r>
      </w:hyperlink>
      <w:r w:rsidRPr="00666085">
        <w:rPr>
          <w:lang w:val="en-GB"/>
        </w:rPr>
        <w:t xml:space="preserve"> của Bộ trưởng Bộ Tài chính quy định lập dự toán, quản lý sử dụng và quyết toán kinh phí ngân sách nhà nước hỗ trợ tổ chức các giải thi đấu thể thao tại Việt Nam</w:t>
      </w:r>
      <w:r w:rsidR="00216C46">
        <w:rPr>
          <w:lang w:val="en-GB"/>
        </w:rPr>
        <w:t>.</w:t>
      </w:r>
    </w:p>
    <w:p w14:paraId="0523D017" w14:textId="170FA147" w:rsidR="00201F68" w:rsidRPr="00666085" w:rsidRDefault="00E463FE" w:rsidP="00FB38F2">
      <w:pPr>
        <w:pStyle w:val="Normal1"/>
        <w:spacing w:before="120" w:after="240" w:line="288" w:lineRule="auto"/>
        <w:ind w:firstLine="709"/>
        <w:jc w:val="both"/>
        <w:rPr>
          <w:lang w:val="en-GB"/>
        </w:rPr>
      </w:pPr>
      <w:r w:rsidRPr="00312CD3">
        <w:rPr>
          <w:lang w:val="en-GB"/>
        </w:rPr>
        <w:t xml:space="preserve">Để </w:t>
      </w:r>
      <w:r w:rsidR="00312CD3" w:rsidRPr="00312CD3">
        <w:rPr>
          <w:lang w:val="en-GB"/>
        </w:rPr>
        <w:t>khắc</w:t>
      </w:r>
      <w:r w:rsidRPr="00312CD3">
        <w:rPr>
          <w:lang w:val="en-GB"/>
        </w:rPr>
        <w:t xml:space="preserve"> phục tình trạng</w:t>
      </w:r>
      <w:r w:rsidRPr="00666085">
        <w:rPr>
          <w:lang w:val="en-GB"/>
        </w:rPr>
        <w:t xml:space="preserve"> </w:t>
      </w:r>
      <w:r w:rsidR="00312CD3" w:rsidRPr="00666085">
        <w:rPr>
          <w:lang w:val="en-GB"/>
        </w:rPr>
        <w:t>chênh lệch về mức chi giữa các khu vực sau khi sắp xếp, sáp nhập đơn vị hành chính</w:t>
      </w:r>
      <w:r w:rsidR="0081272F" w:rsidRPr="00666085">
        <w:rPr>
          <w:lang w:val="en-GB"/>
        </w:rPr>
        <w:t>,</w:t>
      </w:r>
      <w:r w:rsidR="00666085" w:rsidRPr="00666085">
        <w:rPr>
          <w:lang w:val="en-GB"/>
        </w:rPr>
        <w:t xml:space="preserve"> nhằm</w:t>
      </w:r>
      <w:r w:rsidR="00312CD3" w:rsidRPr="00666085">
        <w:rPr>
          <w:lang w:val="en-GB"/>
        </w:rPr>
        <w:t xml:space="preserve"> góp phần hình thành một nền tảng pháp lý đồng bộ, thống nhất, tạo điều kiện thuận lợi cho công tác qu</w:t>
      </w:r>
      <w:r w:rsidR="005472DC">
        <w:rPr>
          <w:lang w:val="en-GB"/>
        </w:rPr>
        <w:t>ản lý nhà nước</w:t>
      </w:r>
      <w:r w:rsidR="00312CD3" w:rsidRPr="00666085">
        <w:rPr>
          <w:lang w:val="en-GB"/>
        </w:rPr>
        <w:t xml:space="preserve">, </w:t>
      </w:r>
      <w:r w:rsidR="00312CD3" w:rsidRPr="00312CD3">
        <w:rPr>
          <w:lang w:val="en-GB"/>
        </w:rPr>
        <w:t xml:space="preserve">Ủy ban nhân dân Thành phố đã xây dựng </w:t>
      </w:r>
      <w:r w:rsidR="00312CD3" w:rsidRPr="00666085">
        <w:rPr>
          <w:lang w:val="en-GB"/>
        </w:rPr>
        <w:t xml:space="preserve">dự thảo Nghị quyết của Hội đồng nhân dân Thành phố quy định </w:t>
      </w:r>
      <w:r w:rsidR="0081272F" w:rsidRPr="00666085">
        <w:rPr>
          <w:lang w:val="en-GB"/>
        </w:rPr>
        <w:t xml:space="preserve">về </w:t>
      </w:r>
      <w:r w:rsidR="005472DC">
        <w:rPr>
          <w:lang w:val="en-GB"/>
        </w:rPr>
        <w:t>mức chi các giải thi đấu thể thao tại</w:t>
      </w:r>
      <w:r w:rsidR="0081272F" w:rsidRPr="00666085">
        <w:rPr>
          <w:lang w:val="en-GB"/>
        </w:rPr>
        <w:t xml:space="preserve"> Thành phố Hồ Chí Minh</w:t>
      </w:r>
      <w:r w:rsidR="00312CD3" w:rsidRPr="00312CD3">
        <w:rPr>
          <w:lang w:val="en-GB"/>
        </w:rPr>
        <w:t xml:space="preserve">, đồng thời thực hiện </w:t>
      </w:r>
      <w:r w:rsidR="00312CD3" w:rsidRPr="00666085">
        <w:rPr>
          <w:lang w:val="en-GB"/>
        </w:rPr>
        <w:t>Bản so sánh, thuyết minh nội dung dự thảo theo quy định</w:t>
      </w:r>
      <w:r w:rsidR="00312CD3" w:rsidRPr="00312CD3">
        <w:rPr>
          <w:lang w:val="en-GB"/>
        </w:rPr>
        <w:t>. Kết quả cụ thể như sau:</w:t>
      </w:r>
    </w:p>
    <w:tbl>
      <w:tblPr>
        <w:tblStyle w:val="TableGrid"/>
        <w:tblW w:w="14596" w:type="dxa"/>
        <w:tblLook w:val="04A0" w:firstRow="1" w:lastRow="0" w:firstColumn="1" w:lastColumn="0" w:noHBand="0" w:noVBand="1"/>
      </w:tblPr>
      <w:tblGrid>
        <w:gridCol w:w="2746"/>
        <w:gridCol w:w="2919"/>
        <w:gridCol w:w="3261"/>
        <w:gridCol w:w="2940"/>
        <w:gridCol w:w="2730"/>
      </w:tblGrid>
      <w:tr w:rsidR="002D020C" w:rsidRPr="002D020C" w14:paraId="68BC2B19" w14:textId="77777777" w:rsidTr="00FB38F2">
        <w:tc>
          <w:tcPr>
            <w:tcW w:w="2746" w:type="dxa"/>
            <w:shd w:val="clear" w:color="auto" w:fill="FFFFFF"/>
            <w:vAlign w:val="center"/>
          </w:tcPr>
          <w:p w14:paraId="49F2B9A7" w14:textId="0A281336" w:rsidR="002D020C" w:rsidRPr="002D020C" w:rsidRDefault="002D020C" w:rsidP="002D7EC2">
            <w:pPr>
              <w:jc w:val="center"/>
              <w:rPr>
                <w:rFonts w:ascii="Times New Roman" w:hAnsi="Times New Roman" w:cs="Times New Roman"/>
                <w:b/>
                <w:bCs/>
                <w:color w:val="auto"/>
                <w:sz w:val="26"/>
                <w:szCs w:val="26"/>
                <w:lang w:val="en-US"/>
              </w:rPr>
            </w:pPr>
            <w:r w:rsidRPr="002D020C">
              <w:rPr>
                <w:rFonts w:ascii="Times New Roman" w:hAnsi="Times New Roman" w:cs="Times New Roman"/>
                <w:bCs/>
                <w:color w:val="auto"/>
                <w:spacing w:val="-4"/>
                <w:sz w:val="26"/>
                <w:szCs w:val="26"/>
                <w:lang w:val="en-US"/>
              </w:rPr>
              <w:br w:type="page"/>
            </w:r>
            <w:r w:rsidRPr="002D020C">
              <w:rPr>
                <w:rFonts w:ascii="Times New Roman" w:hAnsi="Times New Roman" w:cs="Times New Roman"/>
                <w:b/>
                <w:bCs/>
                <w:color w:val="auto"/>
                <w:sz w:val="26"/>
                <w:szCs w:val="26"/>
              </w:rPr>
              <w:t xml:space="preserve">VĂN BẢN </w:t>
            </w:r>
            <w:r w:rsidRPr="002D020C">
              <w:rPr>
                <w:rFonts w:ascii="Times New Roman" w:hAnsi="Times New Roman" w:cs="Times New Roman"/>
                <w:b/>
                <w:bCs/>
                <w:color w:val="auto"/>
                <w:sz w:val="26"/>
                <w:szCs w:val="26"/>
                <w:lang w:val="en-US"/>
              </w:rPr>
              <w:t xml:space="preserve">QUY PHẠM PHÁP LUẬT </w:t>
            </w:r>
            <w:r w:rsidR="002D7EC2">
              <w:rPr>
                <w:rFonts w:ascii="Times New Roman" w:hAnsi="Times New Roman" w:cs="Times New Roman"/>
                <w:b/>
                <w:bCs/>
                <w:color w:val="auto"/>
                <w:sz w:val="26"/>
                <w:szCs w:val="26"/>
                <w:lang w:val="en-US"/>
              </w:rPr>
              <w:t>ÁP DỤNG</w:t>
            </w:r>
            <w:r w:rsidRPr="002D020C">
              <w:rPr>
                <w:rFonts w:ascii="Times New Roman" w:hAnsi="Times New Roman" w:cs="Times New Roman"/>
                <w:b/>
                <w:bCs/>
                <w:color w:val="auto"/>
                <w:sz w:val="26"/>
                <w:szCs w:val="26"/>
                <w:lang w:val="en-US"/>
              </w:rPr>
              <w:t xml:space="preserve"> TẠI THÀNH PHỐ HỒ CHÍ MINH</w:t>
            </w:r>
          </w:p>
        </w:tc>
        <w:tc>
          <w:tcPr>
            <w:tcW w:w="2919" w:type="dxa"/>
            <w:shd w:val="clear" w:color="auto" w:fill="FFFFFF"/>
            <w:vAlign w:val="center"/>
          </w:tcPr>
          <w:p w14:paraId="669EBEE2" w14:textId="5E6DE4F9" w:rsidR="002D020C" w:rsidRPr="002D020C" w:rsidRDefault="002D020C" w:rsidP="000340BA">
            <w:pPr>
              <w:jc w:val="center"/>
              <w:rPr>
                <w:rFonts w:ascii="Times New Roman" w:hAnsi="Times New Roman" w:cs="Times New Roman"/>
                <w:b/>
                <w:bCs/>
                <w:color w:val="auto"/>
                <w:sz w:val="26"/>
                <w:szCs w:val="26"/>
              </w:rPr>
            </w:pPr>
            <w:r w:rsidRPr="002D020C">
              <w:rPr>
                <w:rFonts w:ascii="Times New Roman" w:hAnsi="Times New Roman" w:cs="Times New Roman"/>
                <w:b/>
                <w:bCs/>
                <w:color w:val="auto"/>
                <w:sz w:val="26"/>
                <w:szCs w:val="26"/>
              </w:rPr>
              <w:t xml:space="preserve">VĂN BẢN </w:t>
            </w:r>
            <w:r w:rsidRPr="002D020C">
              <w:rPr>
                <w:rFonts w:ascii="Times New Roman" w:hAnsi="Times New Roman" w:cs="Times New Roman"/>
                <w:b/>
                <w:bCs/>
                <w:color w:val="auto"/>
                <w:sz w:val="26"/>
                <w:szCs w:val="26"/>
                <w:lang w:val="en-US"/>
              </w:rPr>
              <w:t>QUY PHẠM PHÁP LUẬT HIỆN HÀNH TẠI TỈNH BÌNH DƯƠNG</w:t>
            </w:r>
          </w:p>
        </w:tc>
        <w:tc>
          <w:tcPr>
            <w:tcW w:w="3261" w:type="dxa"/>
            <w:shd w:val="clear" w:color="auto" w:fill="FFFFFF"/>
            <w:vAlign w:val="center"/>
          </w:tcPr>
          <w:p w14:paraId="59170213" w14:textId="4A66B024" w:rsidR="002D020C" w:rsidRPr="002D020C" w:rsidRDefault="002D020C" w:rsidP="000340BA">
            <w:pPr>
              <w:jc w:val="center"/>
              <w:rPr>
                <w:rFonts w:ascii="Times New Roman" w:hAnsi="Times New Roman" w:cs="Times New Roman"/>
                <w:b/>
                <w:bCs/>
                <w:color w:val="auto"/>
                <w:sz w:val="26"/>
                <w:szCs w:val="26"/>
              </w:rPr>
            </w:pPr>
            <w:r w:rsidRPr="002D020C">
              <w:rPr>
                <w:rFonts w:ascii="Times New Roman" w:hAnsi="Times New Roman" w:cs="Times New Roman"/>
                <w:b/>
                <w:bCs/>
                <w:color w:val="auto"/>
                <w:sz w:val="26"/>
                <w:szCs w:val="26"/>
              </w:rPr>
              <w:t xml:space="preserve">VĂN BẢN </w:t>
            </w:r>
            <w:r w:rsidRPr="002D020C">
              <w:rPr>
                <w:rFonts w:ascii="Times New Roman" w:hAnsi="Times New Roman" w:cs="Times New Roman"/>
                <w:b/>
                <w:bCs/>
                <w:color w:val="auto"/>
                <w:sz w:val="26"/>
                <w:szCs w:val="26"/>
                <w:lang w:val="en-US"/>
              </w:rPr>
              <w:t>QUY PHẠM PHÁP LUẬT HIỆN HÀNH TẠI TỈNH BÀ RỊA – VŨNG TÀU</w:t>
            </w:r>
          </w:p>
        </w:tc>
        <w:tc>
          <w:tcPr>
            <w:tcW w:w="2940" w:type="dxa"/>
            <w:shd w:val="clear" w:color="auto" w:fill="FFFFFF"/>
            <w:vAlign w:val="center"/>
          </w:tcPr>
          <w:p w14:paraId="7FC91774" w14:textId="3E22D375" w:rsidR="002D020C" w:rsidRPr="002D020C" w:rsidRDefault="002D020C" w:rsidP="002D020C">
            <w:pPr>
              <w:jc w:val="center"/>
              <w:rPr>
                <w:rFonts w:ascii="Times New Roman" w:hAnsi="Times New Roman" w:cs="Times New Roman"/>
                <w:b/>
                <w:bCs/>
                <w:color w:val="auto"/>
                <w:sz w:val="26"/>
                <w:szCs w:val="26"/>
                <w:lang w:val="en-US"/>
              </w:rPr>
            </w:pPr>
            <w:r w:rsidRPr="002D020C">
              <w:rPr>
                <w:rFonts w:ascii="Times New Roman" w:hAnsi="Times New Roman" w:cs="Times New Roman"/>
                <w:b/>
                <w:bCs/>
                <w:color w:val="auto"/>
                <w:sz w:val="26"/>
                <w:szCs w:val="26"/>
              </w:rPr>
              <w:t>D</w:t>
            </w:r>
            <w:r w:rsidRPr="002D020C">
              <w:rPr>
                <w:rFonts w:ascii="Times New Roman" w:hAnsi="Times New Roman" w:cs="Times New Roman"/>
                <w:b/>
                <w:bCs/>
                <w:color w:val="auto"/>
                <w:sz w:val="26"/>
                <w:szCs w:val="26"/>
                <w:lang w:val="en-US"/>
              </w:rPr>
              <w:t>Ự</w:t>
            </w:r>
            <w:r w:rsidRPr="002D020C">
              <w:rPr>
                <w:rFonts w:ascii="Times New Roman" w:hAnsi="Times New Roman" w:cs="Times New Roman"/>
                <w:b/>
                <w:bCs/>
                <w:color w:val="auto"/>
                <w:sz w:val="26"/>
                <w:szCs w:val="26"/>
              </w:rPr>
              <w:t xml:space="preserve"> THẢO VĂN BẢN</w:t>
            </w:r>
            <w:r w:rsidRPr="002D020C">
              <w:rPr>
                <w:rFonts w:ascii="Times New Roman" w:hAnsi="Times New Roman" w:cs="Times New Roman"/>
                <w:b/>
                <w:bCs/>
                <w:color w:val="auto"/>
                <w:sz w:val="26"/>
                <w:szCs w:val="26"/>
                <w:lang w:val="en-US"/>
              </w:rPr>
              <w:t xml:space="preserve"> QUY PHẠM PHÁP LUẬT SỬA ĐỔI, BỔ SUNG, THAY THẾ</w:t>
            </w:r>
          </w:p>
        </w:tc>
        <w:tc>
          <w:tcPr>
            <w:tcW w:w="2730" w:type="dxa"/>
            <w:shd w:val="clear" w:color="auto" w:fill="FFFFFF"/>
            <w:vAlign w:val="center"/>
          </w:tcPr>
          <w:p w14:paraId="6095AA89" w14:textId="77777777" w:rsidR="002D020C" w:rsidRPr="002D020C" w:rsidRDefault="002D020C" w:rsidP="002D020C">
            <w:pPr>
              <w:jc w:val="center"/>
              <w:rPr>
                <w:rFonts w:ascii="Times New Roman" w:hAnsi="Times New Roman" w:cs="Times New Roman"/>
                <w:b/>
                <w:bCs/>
                <w:color w:val="auto"/>
                <w:sz w:val="26"/>
                <w:szCs w:val="26"/>
              </w:rPr>
            </w:pPr>
            <w:r w:rsidRPr="002D020C">
              <w:rPr>
                <w:rFonts w:ascii="Times New Roman" w:hAnsi="Times New Roman" w:cs="Times New Roman"/>
                <w:b/>
                <w:bCs/>
                <w:color w:val="auto"/>
                <w:sz w:val="26"/>
                <w:szCs w:val="26"/>
              </w:rPr>
              <w:t>THUYẾT MINH</w:t>
            </w:r>
          </w:p>
        </w:tc>
      </w:tr>
      <w:tr w:rsidR="002D020C" w:rsidRPr="002D020C" w14:paraId="4C9545F5" w14:textId="77777777" w:rsidTr="00FB38F2">
        <w:trPr>
          <w:trHeight w:val="424"/>
        </w:trPr>
        <w:tc>
          <w:tcPr>
            <w:tcW w:w="2746" w:type="dxa"/>
            <w:shd w:val="clear" w:color="auto" w:fill="FFFFFF"/>
          </w:tcPr>
          <w:p w14:paraId="15CE5C6A" w14:textId="44D6D180" w:rsidR="002D020C" w:rsidRPr="002D020C" w:rsidRDefault="002D020C" w:rsidP="002D020C">
            <w:pPr>
              <w:jc w:val="both"/>
              <w:rPr>
                <w:rFonts w:ascii="Times New Roman" w:hAnsi="Times New Roman" w:cs="Times New Roman"/>
                <w:spacing w:val="-6"/>
                <w:sz w:val="26"/>
                <w:szCs w:val="26"/>
                <w:lang w:val="en-US"/>
              </w:rPr>
            </w:pPr>
            <w:r w:rsidRPr="005472DC">
              <w:rPr>
                <w:rFonts w:ascii="Times New Roman" w:hAnsi="Times New Roman" w:cs="Times New Roman"/>
                <w:spacing w:val="-6"/>
                <w:sz w:val="26"/>
                <w:szCs w:val="26"/>
              </w:rPr>
              <w:t>Thông tư liên tịch số 200/2011/TTLT-BTC-BVHTTDL</w:t>
            </w:r>
            <w:r w:rsidRPr="002D020C">
              <w:rPr>
                <w:rFonts w:ascii="Times New Roman" w:hAnsi="Times New Roman" w:cs="Times New Roman"/>
                <w:spacing w:val="-6"/>
                <w:sz w:val="26"/>
                <w:szCs w:val="26"/>
              </w:rPr>
              <w:t xml:space="preserve"> ngày 30 tháng 12 năm 2011</w:t>
            </w:r>
            <w:r w:rsidRPr="005472DC">
              <w:rPr>
                <w:rFonts w:ascii="Times New Roman" w:hAnsi="Times New Roman" w:cs="Times New Roman"/>
                <w:spacing w:val="-6"/>
                <w:sz w:val="26"/>
                <w:szCs w:val="26"/>
              </w:rPr>
              <w:t xml:space="preserve"> của Bộ Tài chính, Bộ Văn hóa, Thể thao và Du lịch</w:t>
            </w:r>
            <w:r w:rsidRPr="002D020C">
              <w:rPr>
                <w:rFonts w:ascii="Times New Roman" w:hAnsi="Times New Roman" w:cs="Times New Roman"/>
                <w:spacing w:val="-6"/>
                <w:sz w:val="26"/>
                <w:szCs w:val="26"/>
              </w:rPr>
              <w:t xml:space="preserve"> quy định chế độ chi tiêu </w:t>
            </w:r>
            <w:r w:rsidRPr="002D020C">
              <w:rPr>
                <w:rFonts w:ascii="Times New Roman" w:hAnsi="Times New Roman" w:cs="Times New Roman"/>
                <w:spacing w:val="-6"/>
                <w:sz w:val="26"/>
                <w:szCs w:val="26"/>
              </w:rPr>
              <w:lastRenderedPageBreak/>
              <w:t>tài chính đối với các giải thi đấu thể thao</w:t>
            </w:r>
            <w:r w:rsidRPr="002D020C">
              <w:rPr>
                <w:rFonts w:ascii="Times New Roman" w:hAnsi="Times New Roman" w:cs="Times New Roman"/>
                <w:spacing w:val="-6"/>
                <w:sz w:val="26"/>
                <w:szCs w:val="26"/>
                <w:lang w:val="en-US"/>
              </w:rPr>
              <w:t>.</w:t>
            </w:r>
          </w:p>
        </w:tc>
        <w:tc>
          <w:tcPr>
            <w:tcW w:w="2919" w:type="dxa"/>
            <w:shd w:val="clear" w:color="auto" w:fill="FFFFFF"/>
          </w:tcPr>
          <w:p w14:paraId="7513ABFE" w14:textId="03A48A87" w:rsidR="002D020C" w:rsidRPr="002D020C" w:rsidRDefault="002D020C" w:rsidP="002D020C">
            <w:pPr>
              <w:jc w:val="both"/>
              <w:rPr>
                <w:rFonts w:ascii="Times New Roman" w:hAnsi="Times New Roman" w:cs="Times New Roman"/>
                <w:spacing w:val="-6"/>
                <w:sz w:val="26"/>
                <w:szCs w:val="26"/>
              </w:rPr>
            </w:pPr>
            <w:r w:rsidRPr="002D020C">
              <w:rPr>
                <w:rFonts w:ascii="Times New Roman" w:hAnsi="Times New Roman" w:cs="Times New Roman"/>
                <w:spacing w:val="-6"/>
                <w:sz w:val="26"/>
                <w:szCs w:val="26"/>
              </w:rPr>
              <w:lastRenderedPageBreak/>
              <w:t xml:space="preserve">Nghị quyết số 29/2024/NQ-HĐND ngày 12 tháng 12 năm 2024 của Hội đồng nhân dân tỉnh Bình Dương quy định chế độ hỗ trợ, chi tiêu tài chính và định mức chi đối với lĩnh </w:t>
            </w:r>
            <w:r w:rsidRPr="002D020C">
              <w:rPr>
                <w:rFonts w:ascii="Times New Roman" w:hAnsi="Times New Roman" w:cs="Times New Roman"/>
                <w:spacing w:val="-6"/>
                <w:sz w:val="26"/>
                <w:szCs w:val="26"/>
              </w:rPr>
              <w:lastRenderedPageBreak/>
              <w:t>vực thể dục, thể thao trên địa bàn tỉnh Bình Dương.</w:t>
            </w:r>
          </w:p>
        </w:tc>
        <w:tc>
          <w:tcPr>
            <w:tcW w:w="3261" w:type="dxa"/>
            <w:shd w:val="clear" w:color="auto" w:fill="FFFFFF"/>
            <w:vAlign w:val="center"/>
          </w:tcPr>
          <w:p w14:paraId="32CABB93" w14:textId="7F1751E0" w:rsidR="002D020C" w:rsidRPr="002D020C" w:rsidRDefault="002D020C" w:rsidP="00FB38F2">
            <w:pPr>
              <w:jc w:val="both"/>
              <w:rPr>
                <w:rFonts w:ascii="Times New Roman" w:hAnsi="Times New Roman" w:cs="Times New Roman"/>
                <w:spacing w:val="-6"/>
                <w:sz w:val="26"/>
                <w:szCs w:val="26"/>
              </w:rPr>
            </w:pPr>
            <w:r w:rsidRPr="002D020C">
              <w:rPr>
                <w:rFonts w:ascii="Times New Roman" w:hAnsi="Times New Roman" w:cs="Times New Roman"/>
                <w:spacing w:val="-6"/>
                <w:sz w:val="26"/>
                <w:szCs w:val="26"/>
              </w:rPr>
              <w:lastRenderedPageBreak/>
              <w:t xml:space="preserve">- Nghị quyết số 118/2019/NQ-HĐND ngày 13 tháng 12 năm 2019 của Hội đồng nhân dân tỉnh Bà Rịa - Vũng Tàu ban hành quy định chế độ đối với huấn luyện viên, vận động viên thể thao và chế độ chi tiêu tài </w:t>
            </w:r>
            <w:r w:rsidRPr="002D020C">
              <w:rPr>
                <w:rFonts w:ascii="Times New Roman" w:hAnsi="Times New Roman" w:cs="Times New Roman"/>
                <w:spacing w:val="-6"/>
                <w:sz w:val="26"/>
                <w:szCs w:val="26"/>
              </w:rPr>
              <w:lastRenderedPageBreak/>
              <w:t>chính cho các giải thi đấu thể thao trên địa bàn tỉnh Bà Rịa - Vũng Tàu.</w:t>
            </w:r>
          </w:p>
        </w:tc>
        <w:tc>
          <w:tcPr>
            <w:tcW w:w="2940" w:type="dxa"/>
            <w:shd w:val="clear" w:color="auto" w:fill="FFFFFF"/>
            <w:vAlign w:val="center"/>
          </w:tcPr>
          <w:p w14:paraId="28BC0B6D" w14:textId="62483EBE" w:rsidR="002D020C" w:rsidRPr="002D020C" w:rsidRDefault="002D020C" w:rsidP="002D020C">
            <w:pPr>
              <w:jc w:val="both"/>
              <w:rPr>
                <w:rFonts w:ascii="Times New Roman" w:hAnsi="Times New Roman" w:cs="Times New Roman"/>
                <w:b/>
                <w:bCs/>
                <w:color w:val="auto"/>
                <w:spacing w:val="-2"/>
                <w:sz w:val="26"/>
                <w:szCs w:val="26"/>
              </w:rPr>
            </w:pPr>
            <w:r w:rsidRPr="002D020C">
              <w:rPr>
                <w:rFonts w:ascii="Times New Roman" w:hAnsi="Times New Roman" w:cs="Times New Roman"/>
                <w:bCs/>
                <w:color w:val="auto"/>
                <w:spacing w:val="-2"/>
                <w:sz w:val="26"/>
                <w:szCs w:val="26"/>
                <w:lang w:val="en-US"/>
              </w:rPr>
              <w:lastRenderedPageBreak/>
              <w:t xml:space="preserve">Dự thảo </w:t>
            </w:r>
            <w:r w:rsidRPr="002D020C">
              <w:rPr>
                <w:rFonts w:ascii="Times New Roman" w:hAnsi="Times New Roman" w:cs="Times New Roman"/>
                <w:spacing w:val="-2"/>
                <w:sz w:val="26"/>
                <w:szCs w:val="26"/>
                <w:lang w:val="en-GB"/>
              </w:rPr>
              <w:t>Nghị quyết</w:t>
            </w:r>
            <w:r w:rsidRPr="002D020C">
              <w:rPr>
                <w:rFonts w:ascii="Times New Roman" w:hAnsi="Times New Roman" w:cs="Times New Roman"/>
                <w:bCs/>
                <w:spacing w:val="-2"/>
                <w:sz w:val="26"/>
                <w:szCs w:val="26"/>
                <w:lang w:val="en-GB"/>
              </w:rPr>
              <w:t xml:space="preserve"> </w:t>
            </w:r>
            <w:r w:rsidRPr="002D020C">
              <w:rPr>
                <w:rFonts w:ascii="Times New Roman" w:hAnsi="Times New Roman" w:cs="Times New Roman"/>
                <w:color w:val="auto"/>
                <w:spacing w:val="-2"/>
                <w:sz w:val="26"/>
                <w:szCs w:val="26"/>
                <w:lang w:val="en-US"/>
              </w:rPr>
              <w:t xml:space="preserve">của Hội đồng nhân dân Thành phố </w:t>
            </w:r>
            <w:r>
              <w:rPr>
                <w:rFonts w:ascii="Times New Roman" w:hAnsi="Times New Roman" w:cs="Times New Roman"/>
                <w:color w:val="auto"/>
                <w:spacing w:val="-2"/>
                <w:sz w:val="26"/>
                <w:szCs w:val="26"/>
                <w:lang w:val="en-US"/>
              </w:rPr>
              <w:t>“Q</w:t>
            </w:r>
            <w:r w:rsidRPr="002D020C">
              <w:rPr>
                <w:rFonts w:ascii="Times New Roman" w:hAnsi="Times New Roman" w:cs="Times New Roman"/>
                <w:color w:val="auto"/>
                <w:spacing w:val="-2"/>
                <w:sz w:val="26"/>
                <w:szCs w:val="26"/>
                <w:lang w:val="en-US"/>
              </w:rPr>
              <w:t>uy định về mức chi các giải thi đấu thể thao tại Thành phố Hồ Chí Minh</w:t>
            </w:r>
            <w:r>
              <w:rPr>
                <w:rFonts w:ascii="Times New Roman" w:hAnsi="Times New Roman" w:cs="Times New Roman"/>
                <w:color w:val="auto"/>
                <w:spacing w:val="-2"/>
                <w:sz w:val="26"/>
                <w:szCs w:val="26"/>
                <w:lang w:val="en-US"/>
              </w:rPr>
              <w:t>”</w:t>
            </w:r>
          </w:p>
        </w:tc>
        <w:tc>
          <w:tcPr>
            <w:tcW w:w="2730" w:type="dxa"/>
            <w:shd w:val="clear" w:color="auto" w:fill="FFFFFF"/>
            <w:vAlign w:val="center"/>
          </w:tcPr>
          <w:p w14:paraId="510F21EC" w14:textId="0769E0E3" w:rsidR="002D020C" w:rsidRPr="002D020C" w:rsidRDefault="002D020C" w:rsidP="00FB38F2">
            <w:pPr>
              <w:jc w:val="both"/>
              <w:rPr>
                <w:rFonts w:ascii="Times New Roman" w:hAnsi="Times New Roman" w:cs="Times New Roman"/>
                <w:color w:val="auto"/>
                <w:sz w:val="26"/>
                <w:szCs w:val="26"/>
                <w:lang w:val="en-US"/>
              </w:rPr>
            </w:pPr>
            <w:r w:rsidRPr="002D020C">
              <w:rPr>
                <w:rFonts w:ascii="Times New Roman" w:hAnsi="Times New Roman" w:cs="Times New Roman"/>
                <w:color w:val="auto"/>
                <w:sz w:val="26"/>
                <w:szCs w:val="26"/>
                <w:lang w:val="en-US"/>
              </w:rPr>
              <w:t>Có điều chỉnh tên gọi để phù hợp với các quy định của dự thảo nghị quyết.</w:t>
            </w:r>
          </w:p>
        </w:tc>
      </w:tr>
      <w:tr w:rsidR="002D020C" w:rsidRPr="002D020C" w14:paraId="46B55337" w14:textId="77777777" w:rsidTr="00FB38F2">
        <w:tc>
          <w:tcPr>
            <w:tcW w:w="2746" w:type="dxa"/>
            <w:shd w:val="clear" w:color="auto" w:fill="FFFFFF"/>
          </w:tcPr>
          <w:p w14:paraId="3199779B" w14:textId="77777777" w:rsidR="002D020C" w:rsidRPr="002D020C" w:rsidRDefault="002D020C" w:rsidP="002D020C">
            <w:pPr>
              <w:jc w:val="both"/>
              <w:rPr>
                <w:rFonts w:ascii="Times New Roman" w:hAnsi="Times New Roman" w:cs="Times New Roman"/>
                <w:spacing w:val="-6"/>
                <w:sz w:val="26"/>
                <w:szCs w:val="26"/>
              </w:rPr>
            </w:pPr>
          </w:p>
        </w:tc>
        <w:tc>
          <w:tcPr>
            <w:tcW w:w="2919" w:type="dxa"/>
            <w:shd w:val="clear" w:color="auto" w:fill="FFFFFF"/>
          </w:tcPr>
          <w:p w14:paraId="678E4E9F" w14:textId="77777777" w:rsidR="002D020C" w:rsidRPr="002D020C" w:rsidRDefault="002D020C" w:rsidP="002D020C">
            <w:pPr>
              <w:jc w:val="both"/>
              <w:rPr>
                <w:rFonts w:ascii="Times New Roman" w:hAnsi="Times New Roman" w:cs="Times New Roman"/>
                <w:spacing w:val="-6"/>
                <w:sz w:val="26"/>
                <w:szCs w:val="26"/>
              </w:rPr>
            </w:pPr>
          </w:p>
        </w:tc>
        <w:tc>
          <w:tcPr>
            <w:tcW w:w="3261" w:type="dxa"/>
            <w:shd w:val="clear" w:color="auto" w:fill="FFFFFF"/>
          </w:tcPr>
          <w:p w14:paraId="596B1761" w14:textId="4036D8C6" w:rsidR="002D020C" w:rsidRPr="002D020C" w:rsidRDefault="002D020C" w:rsidP="002D020C">
            <w:pPr>
              <w:spacing w:before="120" w:after="120" w:line="276" w:lineRule="auto"/>
              <w:jc w:val="both"/>
              <w:rPr>
                <w:rFonts w:ascii="Times New Roman" w:hAnsi="Times New Roman" w:cs="Times New Roman"/>
                <w:spacing w:val="-6"/>
                <w:sz w:val="26"/>
                <w:szCs w:val="26"/>
              </w:rPr>
            </w:pPr>
            <w:r w:rsidRPr="002D020C">
              <w:rPr>
                <w:rFonts w:ascii="Times New Roman" w:hAnsi="Times New Roman" w:cs="Times New Roman"/>
                <w:spacing w:val="-6"/>
                <w:sz w:val="26"/>
                <w:szCs w:val="26"/>
                <w:lang w:val="en-US"/>
              </w:rPr>
              <w:t xml:space="preserve">- </w:t>
            </w:r>
            <w:r w:rsidRPr="002D020C">
              <w:rPr>
                <w:rFonts w:ascii="Times New Roman" w:hAnsi="Times New Roman" w:cs="Times New Roman"/>
                <w:spacing w:val="-6"/>
                <w:sz w:val="26"/>
                <w:szCs w:val="26"/>
              </w:rPr>
              <w:t>Nghị quyết số 04/2021/NQ-HĐND ngày 17 tháng 8 năm 2021 của Hội đồng nhân dân tỉnh Bà Rịa - Vũng Tàu về sửa đổi, bổ sung một số điều của Quy định về chế độ đối với huấn luyện viên, vận động viên thể thao và chế độ chi tiêu tài chính cho các giải thi đấu thể thao trên địa bàn tỉnh Bà Rịa - Vũng Tàu ban hành kèm theo Nghị quyết số 118/2019/NQ-HĐND ngày 13 tháng 12 năm 2019 của Hội đồng nhân dân tỉnh Bà Rịa - Vũng Tàu.</w:t>
            </w:r>
          </w:p>
        </w:tc>
        <w:tc>
          <w:tcPr>
            <w:tcW w:w="2940" w:type="dxa"/>
            <w:shd w:val="clear" w:color="auto" w:fill="FFFFFF"/>
            <w:vAlign w:val="center"/>
          </w:tcPr>
          <w:p w14:paraId="7C6CDA79" w14:textId="77777777" w:rsidR="002D020C" w:rsidRPr="002D020C" w:rsidRDefault="002D020C" w:rsidP="002D020C">
            <w:pPr>
              <w:jc w:val="both"/>
              <w:rPr>
                <w:rFonts w:ascii="Times New Roman" w:hAnsi="Times New Roman" w:cs="Times New Roman"/>
                <w:b/>
                <w:bCs/>
                <w:color w:val="auto"/>
                <w:spacing w:val="-2"/>
                <w:sz w:val="26"/>
                <w:szCs w:val="26"/>
                <w:lang w:val="en-US"/>
              </w:rPr>
            </w:pPr>
          </w:p>
        </w:tc>
        <w:tc>
          <w:tcPr>
            <w:tcW w:w="2730" w:type="dxa"/>
            <w:shd w:val="clear" w:color="auto" w:fill="FFFFFF"/>
          </w:tcPr>
          <w:p w14:paraId="770645EC" w14:textId="77777777" w:rsidR="002D020C" w:rsidRPr="002D020C" w:rsidRDefault="002D020C" w:rsidP="002D020C">
            <w:pPr>
              <w:jc w:val="both"/>
              <w:rPr>
                <w:rFonts w:ascii="Times New Roman" w:hAnsi="Times New Roman" w:cs="Times New Roman"/>
                <w:color w:val="auto"/>
                <w:sz w:val="26"/>
                <w:szCs w:val="26"/>
                <w:lang w:val="en-US"/>
              </w:rPr>
            </w:pPr>
          </w:p>
        </w:tc>
      </w:tr>
      <w:tr w:rsidR="002D020C" w:rsidRPr="002D020C" w14:paraId="3A4D325C" w14:textId="77777777" w:rsidTr="00FB38F2">
        <w:tc>
          <w:tcPr>
            <w:tcW w:w="2746" w:type="dxa"/>
            <w:shd w:val="clear" w:color="auto" w:fill="FFFFFF"/>
            <w:vAlign w:val="center"/>
          </w:tcPr>
          <w:p w14:paraId="1B13847F" w14:textId="7E90A086" w:rsidR="002D020C" w:rsidRPr="002D020C" w:rsidRDefault="002D020C" w:rsidP="002D020C">
            <w:pPr>
              <w:jc w:val="both"/>
              <w:rPr>
                <w:rFonts w:ascii="Times New Roman" w:hAnsi="Times New Roman" w:cs="Times New Roman"/>
                <w:spacing w:val="-6"/>
                <w:sz w:val="26"/>
                <w:szCs w:val="26"/>
              </w:rPr>
            </w:pPr>
            <w:r w:rsidRPr="009C5FB8">
              <w:rPr>
                <w:rFonts w:ascii="Times New Roman" w:hAnsi="Times New Roman" w:cs="Times New Roman"/>
                <w:bCs/>
                <w:color w:val="auto"/>
                <w:lang w:val="en-US"/>
              </w:rPr>
              <w:t>Điều 1:</w:t>
            </w:r>
            <w:r w:rsidRPr="002D020C">
              <w:rPr>
                <w:rFonts w:ascii="Times New Roman" w:hAnsi="Times New Roman" w:cs="Times New Roman"/>
                <w:bCs/>
                <w:color w:val="auto"/>
                <w:lang w:val="en-US"/>
              </w:rPr>
              <w:t xml:space="preserve"> Phạm vi điều chỉnh</w:t>
            </w:r>
          </w:p>
        </w:tc>
        <w:tc>
          <w:tcPr>
            <w:tcW w:w="2919" w:type="dxa"/>
            <w:shd w:val="clear" w:color="auto" w:fill="FFFFFF"/>
            <w:vAlign w:val="center"/>
          </w:tcPr>
          <w:p w14:paraId="56CEB156" w14:textId="2DB94EE8" w:rsidR="002D020C" w:rsidRPr="00C810D5" w:rsidRDefault="002D020C" w:rsidP="002D020C">
            <w:pPr>
              <w:jc w:val="both"/>
              <w:rPr>
                <w:rFonts w:ascii="Times New Roman" w:hAnsi="Times New Roman" w:cs="Times New Roman"/>
                <w:spacing w:val="-6"/>
                <w:sz w:val="26"/>
                <w:szCs w:val="26"/>
                <w:lang w:val="en-US"/>
              </w:rPr>
            </w:pPr>
            <w:r w:rsidRPr="009C5FB8">
              <w:rPr>
                <w:rFonts w:ascii="Times New Roman" w:hAnsi="Times New Roman" w:cs="Times New Roman"/>
                <w:bCs/>
                <w:color w:val="auto"/>
                <w:lang w:val="en-US"/>
              </w:rPr>
              <w:t>Điều 1:</w:t>
            </w:r>
            <w:r w:rsidRPr="009C5FB8">
              <w:rPr>
                <w:rFonts w:ascii="Times New Roman" w:hAnsi="Times New Roman" w:cs="Times New Roman"/>
                <w:b/>
              </w:rPr>
              <w:t xml:space="preserve"> </w:t>
            </w:r>
            <w:r w:rsidRPr="009C5FB8">
              <w:rPr>
                <w:rFonts w:ascii="Times New Roman" w:hAnsi="Times New Roman" w:cs="Times New Roman"/>
              </w:rPr>
              <w:t>Phạm vi điều chỉnh</w:t>
            </w:r>
            <w:r w:rsidR="00C810D5">
              <w:rPr>
                <w:rFonts w:ascii="Times New Roman" w:hAnsi="Times New Roman" w:cs="Times New Roman"/>
                <w:lang w:val="en-US"/>
              </w:rPr>
              <w:t xml:space="preserve"> và đối tượng áp dụng</w:t>
            </w:r>
          </w:p>
        </w:tc>
        <w:tc>
          <w:tcPr>
            <w:tcW w:w="3261" w:type="dxa"/>
            <w:shd w:val="clear" w:color="auto" w:fill="FFFFFF"/>
            <w:vAlign w:val="center"/>
          </w:tcPr>
          <w:p w14:paraId="527608BB" w14:textId="660C2615" w:rsidR="002D020C" w:rsidRPr="002D020C" w:rsidRDefault="002D020C" w:rsidP="002D020C">
            <w:pPr>
              <w:spacing w:before="120" w:after="120" w:line="276" w:lineRule="auto"/>
              <w:jc w:val="both"/>
              <w:rPr>
                <w:rFonts w:ascii="Times New Roman" w:hAnsi="Times New Roman" w:cs="Times New Roman"/>
                <w:spacing w:val="-6"/>
                <w:sz w:val="26"/>
                <w:szCs w:val="26"/>
                <w:lang w:val="en-US"/>
              </w:rPr>
            </w:pPr>
            <w:r w:rsidRPr="009C5FB8">
              <w:rPr>
                <w:rFonts w:ascii="Times New Roman" w:hAnsi="Times New Roman" w:cs="Times New Roman"/>
                <w:bCs/>
                <w:color w:val="auto"/>
                <w:lang w:val="en-US"/>
              </w:rPr>
              <w:t>Điều 1:</w:t>
            </w:r>
            <w:r w:rsidRPr="009C5FB8">
              <w:rPr>
                <w:rFonts w:ascii="Times New Roman" w:hAnsi="Times New Roman" w:cs="Times New Roman"/>
                <w:b/>
              </w:rPr>
              <w:t xml:space="preserve"> </w:t>
            </w:r>
            <w:r w:rsidRPr="009C5FB8">
              <w:rPr>
                <w:rFonts w:ascii="Times New Roman" w:hAnsi="Times New Roman" w:cs="Times New Roman"/>
              </w:rPr>
              <w:t>Phạm vi điều chỉnh</w:t>
            </w:r>
          </w:p>
        </w:tc>
        <w:tc>
          <w:tcPr>
            <w:tcW w:w="2940" w:type="dxa"/>
            <w:shd w:val="clear" w:color="auto" w:fill="FFFFFF"/>
            <w:vAlign w:val="center"/>
          </w:tcPr>
          <w:p w14:paraId="1539DBA2" w14:textId="7B1DEE5C" w:rsidR="002D020C" w:rsidRPr="002D020C" w:rsidRDefault="002D020C" w:rsidP="002D020C">
            <w:pPr>
              <w:jc w:val="both"/>
              <w:rPr>
                <w:rFonts w:ascii="Times New Roman" w:hAnsi="Times New Roman" w:cs="Times New Roman"/>
                <w:b/>
                <w:bCs/>
                <w:color w:val="auto"/>
                <w:spacing w:val="-2"/>
                <w:sz w:val="26"/>
                <w:szCs w:val="26"/>
                <w:lang w:val="en-US"/>
              </w:rPr>
            </w:pPr>
            <w:r w:rsidRPr="009C5FB8">
              <w:rPr>
                <w:rFonts w:ascii="Times New Roman" w:hAnsi="Times New Roman" w:cs="Times New Roman"/>
                <w:bCs/>
                <w:color w:val="auto"/>
                <w:lang w:val="en-US"/>
              </w:rPr>
              <w:t>Điều 1:</w:t>
            </w:r>
            <w:r w:rsidRPr="009C5FB8">
              <w:rPr>
                <w:rFonts w:ascii="Times New Roman" w:hAnsi="Times New Roman" w:cs="Times New Roman"/>
                <w:b/>
              </w:rPr>
              <w:t xml:space="preserve"> </w:t>
            </w:r>
            <w:r w:rsidRPr="009C5FB8">
              <w:rPr>
                <w:rFonts w:ascii="Times New Roman" w:hAnsi="Times New Roman" w:cs="Times New Roman"/>
              </w:rPr>
              <w:t>Phạm vi điều chỉnh</w:t>
            </w:r>
          </w:p>
        </w:tc>
        <w:tc>
          <w:tcPr>
            <w:tcW w:w="2730" w:type="dxa"/>
            <w:shd w:val="clear" w:color="auto" w:fill="FFFFFF"/>
            <w:vAlign w:val="center"/>
          </w:tcPr>
          <w:p w14:paraId="67AB8654" w14:textId="244E2813" w:rsidR="002D020C" w:rsidRPr="002D020C" w:rsidRDefault="00C810D5" w:rsidP="002D020C">
            <w:pPr>
              <w:jc w:val="both"/>
              <w:rPr>
                <w:rFonts w:ascii="Times New Roman" w:hAnsi="Times New Roman" w:cs="Times New Roman"/>
                <w:color w:val="auto"/>
                <w:sz w:val="26"/>
                <w:szCs w:val="26"/>
                <w:lang w:val="en-US"/>
              </w:rPr>
            </w:pPr>
            <w:r>
              <w:rPr>
                <w:rFonts w:ascii="Times New Roman" w:hAnsi="Times New Roman" w:cs="Times New Roman"/>
                <w:color w:val="auto"/>
                <w:lang w:val="en-US"/>
              </w:rPr>
              <w:t>Kế thừa các Nghị quyết</w:t>
            </w:r>
            <w:r w:rsidR="002D020C" w:rsidRPr="009C5FB8">
              <w:rPr>
                <w:rFonts w:ascii="Times New Roman" w:hAnsi="Times New Roman" w:cs="Times New Roman"/>
                <w:color w:val="auto"/>
                <w:lang w:val="en-US"/>
              </w:rPr>
              <w:t xml:space="preserve"> </w:t>
            </w:r>
            <w:r>
              <w:rPr>
                <w:rFonts w:ascii="Times New Roman" w:hAnsi="Times New Roman" w:cs="Times New Roman"/>
                <w:color w:val="auto"/>
                <w:lang w:val="en-US"/>
              </w:rPr>
              <w:t>trên và điều chỉnh theo Thông tư số 117/2025/TT-BTC ngày 16/12/2025.</w:t>
            </w:r>
          </w:p>
        </w:tc>
      </w:tr>
      <w:tr w:rsidR="00665E34" w:rsidRPr="002D020C" w14:paraId="2AAC72B3" w14:textId="77777777" w:rsidTr="00FB38F2">
        <w:tc>
          <w:tcPr>
            <w:tcW w:w="2746" w:type="dxa"/>
            <w:shd w:val="clear" w:color="auto" w:fill="FFFFFF"/>
            <w:vAlign w:val="center"/>
          </w:tcPr>
          <w:p w14:paraId="5D9BD412" w14:textId="77A7F210" w:rsidR="00665E34" w:rsidRPr="00665E34" w:rsidRDefault="00665E34" w:rsidP="00665E34">
            <w:pPr>
              <w:rPr>
                <w:rFonts w:ascii="Times New Roman" w:hAnsi="Times New Roman" w:cs="Times New Roman"/>
                <w:spacing w:val="-2"/>
                <w:sz w:val="26"/>
                <w:szCs w:val="26"/>
              </w:rPr>
            </w:pPr>
            <w:r w:rsidRPr="00665E34">
              <w:rPr>
                <w:rFonts w:ascii="Times New Roman" w:hAnsi="Times New Roman" w:cs="Times New Roman"/>
                <w:bCs/>
                <w:color w:val="auto"/>
                <w:spacing w:val="-2"/>
                <w:lang w:val="en-US"/>
              </w:rPr>
              <w:t>Điều 2. Đối tượng áp dụng</w:t>
            </w:r>
          </w:p>
        </w:tc>
        <w:tc>
          <w:tcPr>
            <w:tcW w:w="2919" w:type="dxa"/>
            <w:shd w:val="clear" w:color="auto" w:fill="FFFFFF"/>
            <w:vAlign w:val="center"/>
          </w:tcPr>
          <w:p w14:paraId="3E23A0CA" w14:textId="5EC56E31" w:rsidR="00665E34" w:rsidRPr="002D020C" w:rsidRDefault="00665E34" w:rsidP="00665E34">
            <w:pPr>
              <w:rPr>
                <w:rFonts w:ascii="Times New Roman" w:hAnsi="Times New Roman" w:cs="Times New Roman"/>
                <w:spacing w:val="-6"/>
                <w:sz w:val="26"/>
                <w:szCs w:val="26"/>
              </w:rPr>
            </w:pPr>
            <w:r w:rsidRPr="00665E34">
              <w:rPr>
                <w:rFonts w:ascii="Times New Roman" w:hAnsi="Times New Roman" w:cs="Times New Roman"/>
                <w:bCs/>
                <w:color w:val="auto"/>
                <w:lang w:val="en-US"/>
              </w:rPr>
              <w:t>Điều 2. Đối tượng áp dụng</w:t>
            </w:r>
          </w:p>
        </w:tc>
        <w:tc>
          <w:tcPr>
            <w:tcW w:w="3261" w:type="dxa"/>
            <w:shd w:val="clear" w:color="auto" w:fill="FFFFFF"/>
            <w:vAlign w:val="center"/>
          </w:tcPr>
          <w:p w14:paraId="77DC2E96" w14:textId="3E66DFFB" w:rsidR="00665E34" w:rsidRPr="002D020C" w:rsidRDefault="00665E34" w:rsidP="00665E34">
            <w:pPr>
              <w:spacing w:before="120" w:after="120" w:line="276" w:lineRule="auto"/>
              <w:jc w:val="center"/>
              <w:rPr>
                <w:rFonts w:ascii="Times New Roman" w:hAnsi="Times New Roman" w:cs="Times New Roman"/>
                <w:spacing w:val="-6"/>
                <w:sz w:val="26"/>
                <w:szCs w:val="26"/>
                <w:lang w:val="en-US"/>
              </w:rPr>
            </w:pPr>
            <w:r w:rsidRPr="00665E34">
              <w:rPr>
                <w:rFonts w:ascii="Times New Roman" w:hAnsi="Times New Roman" w:cs="Times New Roman"/>
                <w:bCs/>
                <w:color w:val="auto"/>
                <w:lang w:val="en-US"/>
              </w:rPr>
              <w:t>Điều 2. Đối tượng áp dụng</w:t>
            </w:r>
          </w:p>
        </w:tc>
        <w:tc>
          <w:tcPr>
            <w:tcW w:w="2940" w:type="dxa"/>
            <w:shd w:val="clear" w:color="auto" w:fill="FFFFFF"/>
            <w:vAlign w:val="center"/>
          </w:tcPr>
          <w:p w14:paraId="54F41C17" w14:textId="3BCA2315" w:rsidR="00665E34" w:rsidRPr="002D020C" w:rsidRDefault="00665E34" w:rsidP="00665E34">
            <w:pPr>
              <w:rPr>
                <w:rFonts w:ascii="Times New Roman" w:hAnsi="Times New Roman" w:cs="Times New Roman"/>
                <w:b/>
                <w:bCs/>
                <w:color w:val="auto"/>
                <w:spacing w:val="-2"/>
                <w:sz w:val="26"/>
                <w:szCs w:val="26"/>
                <w:lang w:val="en-US"/>
              </w:rPr>
            </w:pPr>
            <w:r w:rsidRPr="00665E34">
              <w:rPr>
                <w:rFonts w:ascii="Times New Roman" w:hAnsi="Times New Roman" w:cs="Times New Roman"/>
                <w:bCs/>
                <w:color w:val="auto"/>
                <w:lang w:val="en-US"/>
              </w:rPr>
              <w:t>Điều 2. Đối tượng áp dụng</w:t>
            </w:r>
          </w:p>
        </w:tc>
        <w:tc>
          <w:tcPr>
            <w:tcW w:w="2730" w:type="dxa"/>
            <w:shd w:val="clear" w:color="auto" w:fill="FFFFFF"/>
            <w:vAlign w:val="center"/>
          </w:tcPr>
          <w:p w14:paraId="33E671E7" w14:textId="309FCC8B" w:rsidR="00665E34" w:rsidRPr="002D020C" w:rsidRDefault="00665E34" w:rsidP="00665E34">
            <w:pPr>
              <w:jc w:val="both"/>
              <w:rPr>
                <w:rFonts w:ascii="Times New Roman" w:hAnsi="Times New Roman" w:cs="Times New Roman"/>
                <w:color w:val="auto"/>
                <w:sz w:val="26"/>
                <w:szCs w:val="26"/>
                <w:lang w:val="en-US"/>
              </w:rPr>
            </w:pPr>
            <w:r>
              <w:rPr>
                <w:rFonts w:ascii="Times New Roman" w:hAnsi="Times New Roman" w:cs="Times New Roman"/>
                <w:color w:val="auto"/>
                <w:lang w:val="en-US"/>
              </w:rPr>
              <w:t>Kế thừa các Nghị quyết</w:t>
            </w:r>
            <w:r w:rsidRPr="009C5FB8">
              <w:rPr>
                <w:rFonts w:ascii="Times New Roman" w:hAnsi="Times New Roman" w:cs="Times New Roman"/>
                <w:color w:val="auto"/>
                <w:lang w:val="en-US"/>
              </w:rPr>
              <w:t xml:space="preserve"> </w:t>
            </w:r>
            <w:r>
              <w:rPr>
                <w:rFonts w:ascii="Times New Roman" w:hAnsi="Times New Roman" w:cs="Times New Roman"/>
                <w:color w:val="auto"/>
                <w:lang w:val="en-US"/>
              </w:rPr>
              <w:t xml:space="preserve">trên và điều chỉnh theo Thông tư số 117/2025/TT-BTC ngày </w:t>
            </w:r>
            <w:r>
              <w:rPr>
                <w:rFonts w:ascii="Times New Roman" w:hAnsi="Times New Roman" w:cs="Times New Roman"/>
                <w:color w:val="auto"/>
                <w:lang w:val="en-US"/>
              </w:rPr>
              <w:lastRenderedPageBreak/>
              <w:t>16/12/2025.</w:t>
            </w:r>
          </w:p>
        </w:tc>
      </w:tr>
      <w:tr w:rsidR="000340BA" w:rsidRPr="002D020C" w14:paraId="2CD1BE2E" w14:textId="77777777" w:rsidTr="00FB38F2">
        <w:trPr>
          <w:trHeight w:val="724"/>
        </w:trPr>
        <w:tc>
          <w:tcPr>
            <w:tcW w:w="2746" w:type="dxa"/>
            <w:shd w:val="clear" w:color="auto" w:fill="FFFFFF"/>
            <w:vAlign w:val="center"/>
          </w:tcPr>
          <w:p w14:paraId="1D16FB3D" w14:textId="290031D7" w:rsidR="000340BA" w:rsidRPr="00665E34" w:rsidRDefault="000340BA" w:rsidP="000340BA">
            <w:pPr>
              <w:rPr>
                <w:rFonts w:ascii="Times New Roman" w:hAnsi="Times New Roman" w:cs="Times New Roman"/>
                <w:bCs/>
                <w:color w:val="auto"/>
                <w:spacing w:val="-2"/>
                <w:lang w:val="en-US"/>
              </w:rPr>
            </w:pPr>
            <w:r w:rsidRPr="00665E34">
              <w:rPr>
                <w:rFonts w:ascii="Times New Roman" w:hAnsi="Times New Roman" w:cs="Times New Roman"/>
                <w:bCs/>
                <w:color w:val="auto"/>
                <w:spacing w:val="-2"/>
                <w:lang w:val="en-US"/>
              </w:rPr>
              <w:lastRenderedPageBreak/>
              <w:t>Điều 3. Nội dung chi</w:t>
            </w:r>
          </w:p>
        </w:tc>
        <w:tc>
          <w:tcPr>
            <w:tcW w:w="2919" w:type="dxa"/>
            <w:shd w:val="clear" w:color="auto" w:fill="FFFFFF"/>
            <w:vAlign w:val="center"/>
          </w:tcPr>
          <w:p w14:paraId="15B12702" w14:textId="35441D0E" w:rsidR="000340BA" w:rsidRPr="002D020C" w:rsidRDefault="000340BA" w:rsidP="000340BA">
            <w:pPr>
              <w:jc w:val="both"/>
              <w:rPr>
                <w:rFonts w:ascii="Times New Roman" w:hAnsi="Times New Roman" w:cs="Times New Roman"/>
                <w:spacing w:val="-6"/>
                <w:sz w:val="26"/>
                <w:szCs w:val="26"/>
              </w:rPr>
            </w:pPr>
            <w:r>
              <w:rPr>
                <w:rFonts w:ascii="Times New Roman" w:hAnsi="Times New Roman" w:cs="Times New Roman"/>
                <w:bCs/>
                <w:color w:val="auto"/>
                <w:spacing w:val="-2"/>
                <w:lang w:val="en-US"/>
              </w:rPr>
              <w:t>Điều 3. Hỗ trợ huấn luyện viên, vận động viên</w:t>
            </w:r>
          </w:p>
        </w:tc>
        <w:tc>
          <w:tcPr>
            <w:tcW w:w="3261" w:type="dxa"/>
            <w:shd w:val="clear" w:color="auto" w:fill="FFFFFF"/>
            <w:vAlign w:val="center"/>
          </w:tcPr>
          <w:p w14:paraId="48323505" w14:textId="7F427833" w:rsidR="000340BA" w:rsidRPr="002D7EC2" w:rsidRDefault="000340BA" w:rsidP="000340BA">
            <w:pPr>
              <w:spacing w:before="120" w:after="120" w:line="276" w:lineRule="auto"/>
              <w:jc w:val="both"/>
              <w:rPr>
                <w:rFonts w:ascii="Times New Roman" w:hAnsi="Times New Roman" w:cs="Times New Roman"/>
                <w:sz w:val="26"/>
                <w:szCs w:val="26"/>
                <w:lang w:val="en-US"/>
              </w:rPr>
            </w:pPr>
            <w:r w:rsidRPr="002D7EC2">
              <w:rPr>
                <w:rFonts w:ascii="Times New Roman" w:hAnsi="Times New Roman" w:cs="Times New Roman"/>
                <w:bCs/>
                <w:color w:val="auto"/>
                <w:lang w:val="en-US"/>
              </w:rPr>
              <w:t>Điều 3. Nguồn kinh phí thực hiện</w:t>
            </w:r>
          </w:p>
        </w:tc>
        <w:tc>
          <w:tcPr>
            <w:tcW w:w="2940" w:type="dxa"/>
            <w:shd w:val="clear" w:color="auto" w:fill="FFFFFF"/>
            <w:vAlign w:val="center"/>
          </w:tcPr>
          <w:p w14:paraId="4928CA9F" w14:textId="27002168" w:rsidR="000340BA" w:rsidRPr="002D7EC2" w:rsidRDefault="000340BA" w:rsidP="000340BA">
            <w:pPr>
              <w:jc w:val="both"/>
              <w:rPr>
                <w:rFonts w:ascii="Times New Roman" w:hAnsi="Times New Roman" w:cs="Times New Roman"/>
                <w:b/>
                <w:bCs/>
                <w:color w:val="auto"/>
                <w:sz w:val="26"/>
                <w:szCs w:val="26"/>
                <w:lang w:val="en-US"/>
              </w:rPr>
            </w:pPr>
            <w:r w:rsidRPr="002D7EC2">
              <w:rPr>
                <w:rFonts w:ascii="Times New Roman" w:hAnsi="Times New Roman" w:cs="Times New Roman"/>
                <w:bCs/>
                <w:color w:val="auto"/>
                <w:lang w:val="en-US"/>
              </w:rPr>
              <w:t>Điều 3. Nguồn kinh phí thực hiện</w:t>
            </w:r>
          </w:p>
        </w:tc>
        <w:tc>
          <w:tcPr>
            <w:tcW w:w="2730" w:type="dxa"/>
            <w:shd w:val="clear" w:color="auto" w:fill="FFFFFF"/>
            <w:vAlign w:val="center"/>
          </w:tcPr>
          <w:p w14:paraId="3CF20C61" w14:textId="108EAE45" w:rsidR="000340BA" w:rsidRPr="00FB38F2" w:rsidRDefault="000340BA" w:rsidP="000340BA">
            <w:pPr>
              <w:jc w:val="both"/>
              <w:rPr>
                <w:rFonts w:ascii="Times New Roman" w:hAnsi="Times New Roman" w:cs="Times New Roman"/>
                <w:color w:val="auto"/>
                <w:spacing w:val="-4"/>
                <w:sz w:val="26"/>
                <w:szCs w:val="26"/>
                <w:lang w:val="en-US"/>
              </w:rPr>
            </w:pPr>
            <w:r w:rsidRPr="00FB38F2">
              <w:rPr>
                <w:rFonts w:ascii="Times New Roman" w:hAnsi="Times New Roman" w:cs="Times New Roman"/>
                <w:color w:val="auto"/>
                <w:spacing w:val="-4"/>
                <w:lang w:val="en-US"/>
              </w:rPr>
              <w:t>Kế thừa các Nghị quyết trên và điều chỉnh theo Thông tư số 117/2025/TT-BTC ngày 16/12/2025.</w:t>
            </w:r>
          </w:p>
        </w:tc>
      </w:tr>
      <w:tr w:rsidR="00563871" w:rsidRPr="002D020C" w14:paraId="5F554D54" w14:textId="77777777" w:rsidTr="00FB38F2">
        <w:trPr>
          <w:trHeight w:val="1851"/>
        </w:trPr>
        <w:tc>
          <w:tcPr>
            <w:tcW w:w="2746" w:type="dxa"/>
            <w:shd w:val="clear" w:color="auto" w:fill="FFFFFF"/>
            <w:vAlign w:val="center"/>
          </w:tcPr>
          <w:p w14:paraId="41F3BC16" w14:textId="124E5878" w:rsidR="00563871" w:rsidRPr="002D020C" w:rsidRDefault="00563871" w:rsidP="00563871">
            <w:pPr>
              <w:rPr>
                <w:rFonts w:ascii="Times New Roman" w:hAnsi="Times New Roman" w:cs="Times New Roman"/>
                <w:spacing w:val="-6"/>
                <w:sz w:val="26"/>
                <w:szCs w:val="26"/>
              </w:rPr>
            </w:pPr>
            <w:r w:rsidRPr="00665E34">
              <w:rPr>
                <w:rFonts w:ascii="Times New Roman" w:hAnsi="Times New Roman" w:cs="Times New Roman"/>
                <w:bCs/>
                <w:color w:val="auto"/>
                <w:spacing w:val="-2"/>
                <w:lang w:val="en-US"/>
              </w:rPr>
              <w:t>Điều 4. Mức chi</w:t>
            </w:r>
          </w:p>
        </w:tc>
        <w:tc>
          <w:tcPr>
            <w:tcW w:w="2919" w:type="dxa"/>
            <w:shd w:val="clear" w:color="auto" w:fill="FFFFFF"/>
            <w:vAlign w:val="center"/>
          </w:tcPr>
          <w:p w14:paraId="3E8363F8" w14:textId="13462D60" w:rsidR="00563871" w:rsidRPr="002D020C" w:rsidRDefault="00563871" w:rsidP="00563871">
            <w:pPr>
              <w:jc w:val="both"/>
              <w:rPr>
                <w:rFonts w:ascii="Times New Roman" w:hAnsi="Times New Roman" w:cs="Times New Roman"/>
                <w:spacing w:val="-6"/>
                <w:sz w:val="26"/>
                <w:szCs w:val="26"/>
              </w:rPr>
            </w:pPr>
            <w:r>
              <w:rPr>
                <w:rFonts w:ascii="Times New Roman" w:hAnsi="Times New Roman" w:cs="Times New Roman"/>
                <w:bCs/>
                <w:color w:val="auto"/>
                <w:spacing w:val="-2"/>
                <w:lang w:val="en-US"/>
              </w:rPr>
              <w:t>Điều 4. Hỗ trợ tiền công trong thời gian tập trung đội tuyển, tuyển trẻ quốc gia và tập luyện hàng ngày đối với huấn luyện viên, vận động viên của tỉnh</w:t>
            </w:r>
          </w:p>
        </w:tc>
        <w:tc>
          <w:tcPr>
            <w:tcW w:w="3261" w:type="dxa"/>
            <w:shd w:val="clear" w:color="auto" w:fill="FFFFFF"/>
            <w:vAlign w:val="center"/>
          </w:tcPr>
          <w:p w14:paraId="519F01FA" w14:textId="582059EB" w:rsidR="00563871" w:rsidRPr="002D020C" w:rsidRDefault="00563871" w:rsidP="00563871">
            <w:pPr>
              <w:spacing w:before="120" w:after="120" w:line="276" w:lineRule="auto"/>
              <w:jc w:val="both"/>
              <w:rPr>
                <w:rFonts w:ascii="Times New Roman" w:hAnsi="Times New Roman" w:cs="Times New Roman"/>
                <w:spacing w:val="-6"/>
                <w:sz w:val="26"/>
                <w:szCs w:val="26"/>
                <w:lang w:val="en-US"/>
              </w:rPr>
            </w:pPr>
            <w:r>
              <w:rPr>
                <w:rFonts w:ascii="Times New Roman" w:hAnsi="Times New Roman" w:cs="Times New Roman"/>
                <w:bCs/>
                <w:color w:val="auto"/>
                <w:spacing w:val="-2"/>
                <w:lang w:val="en-US"/>
              </w:rPr>
              <w:t>Điều 4. Mức chi thực hiện chế độ dinh dưỡng đối với huấn luyện viên, vận động viên thể thao thành tích cao</w:t>
            </w:r>
          </w:p>
        </w:tc>
        <w:tc>
          <w:tcPr>
            <w:tcW w:w="2940" w:type="dxa"/>
            <w:shd w:val="clear" w:color="auto" w:fill="FFFFFF"/>
            <w:vAlign w:val="center"/>
          </w:tcPr>
          <w:p w14:paraId="5C1BA857" w14:textId="39B04E91" w:rsidR="00563871" w:rsidRPr="002D020C" w:rsidRDefault="00563871" w:rsidP="00563871">
            <w:pPr>
              <w:jc w:val="both"/>
              <w:rPr>
                <w:rFonts w:ascii="Times New Roman" w:hAnsi="Times New Roman" w:cs="Times New Roman"/>
                <w:b/>
                <w:bCs/>
                <w:color w:val="auto"/>
                <w:spacing w:val="-2"/>
                <w:sz w:val="26"/>
                <w:szCs w:val="26"/>
                <w:lang w:val="en-US"/>
              </w:rPr>
            </w:pPr>
            <w:r>
              <w:rPr>
                <w:rFonts w:ascii="Times New Roman" w:hAnsi="Times New Roman" w:cs="Times New Roman"/>
                <w:bCs/>
                <w:color w:val="auto"/>
                <w:spacing w:val="-2"/>
                <w:lang w:val="en-US"/>
              </w:rPr>
              <w:t>Điều 4</w:t>
            </w:r>
            <w:r w:rsidRPr="00665E34">
              <w:rPr>
                <w:rFonts w:ascii="Times New Roman" w:hAnsi="Times New Roman" w:cs="Times New Roman"/>
                <w:bCs/>
                <w:color w:val="auto"/>
                <w:spacing w:val="-2"/>
                <w:lang w:val="en-US"/>
              </w:rPr>
              <w:t>. Nội dung chi</w:t>
            </w:r>
            <w:r>
              <w:rPr>
                <w:rFonts w:ascii="Times New Roman" w:hAnsi="Times New Roman" w:cs="Times New Roman"/>
                <w:bCs/>
                <w:color w:val="auto"/>
                <w:spacing w:val="-2"/>
                <w:lang w:val="en-US"/>
              </w:rPr>
              <w:t xml:space="preserve"> và mức chi</w:t>
            </w:r>
          </w:p>
        </w:tc>
        <w:tc>
          <w:tcPr>
            <w:tcW w:w="2730" w:type="dxa"/>
            <w:shd w:val="clear" w:color="auto" w:fill="FFFFFF"/>
            <w:vAlign w:val="center"/>
          </w:tcPr>
          <w:p w14:paraId="19B51579" w14:textId="7CC3384C" w:rsidR="00563871" w:rsidRDefault="00563871" w:rsidP="00563871">
            <w:pPr>
              <w:jc w:val="both"/>
              <w:rPr>
                <w:rFonts w:ascii="Times New Roman" w:hAnsi="Times New Roman" w:cs="Times New Roman"/>
                <w:color w:val="auto"/>
                <w:lang w:val="en-US"/>
              </w:rPr>
            </w:pPr>
            <w:r>
              <w:rPr>
                <w:rFonts w:ascii="Times New Roman" w:hAnsi="Times New Roman" w:cs="Times New Roman"/>
                <w:color w:val="auto"/>
                <w:lang w:val="en-US"/>
              </w:rPr>
              <w:t>- Kế thừa các Nghị quyết</w:t>
            </w:r>
            <w:r w:rsidRPr="009C5FB8">
              <w:rPr>
                <w:rFonts w:ascii="Times New Roman" w:hAnsi="Times New Roman" w:cs="Times New Roman"/>
                <w:color w:val="auto"/>
                <w:lang w:val="en-US"/>
              </w:rPr>
              <w:t xml:space="preserve"> </w:t>
            </w:r>
            <w:r>
              <w:rPr>
                <w:rFonts w:ascii="Times New Roman" w:hAnsi="Times New Roman" w:cs="Times New Roman"/>
                <w:color w:val="auto"/>
                <w:lang w:val="en-US"/>
              </w:rPr>
              <w:t>trên và điều chỉnh theo Thông tư số 117/2025/TT-BTC ngày 16/12/2025.</w:t>
            </w:r>
          </w:p>
          <w:p w14:paraId="2C15E740" w14:textId="6100EF40" w:rsidR="00563871" w:rsidRPr="002D020C" w:rsidRDefault="00563871" w:rsidP="00563871">
            <w:pPr>
              <w:jc w:val="both"/>
              <w:rPr>
                <w:rFonts w:ascii="Times New Roman" w:hAnsi="Times New Roman" w:cs="Times New Roman"/>
                <w:color w:val="auto"/>
                <w:sz w:val="26"/>
                <w:szCs w:val="26"/>
                <w:lang w:val="en-US"/>
              </w:rPr>
            </w:pPr>
            <w:r w:rsidRPr="002D020C">
              <w:rPr>
                <w:rFonts w:ascii="Times New Roman" w:hAnsi="Times New Roman" w:cs="Times New Roman"/>
                <w:sz w:val="26"/>
                <w:szCs w:val="26"/>
                <w:lang w:val="en-US"/>
              </w:rPr>
              <w:t xml:space="preserve">- </w:t>
            </w:r>
            <w:r w:rsidRPr="00563871">
              <w:rPr>
                <w:rFonts w:ascii="Times New Roman" w:hAnsi="Times New Roman" w:cs="Times New Roman"/>
                <w:color w:val="auto"/>
                <w:lang w:val="en-US"/>
              </w:rPr>
              <w:t>Đề xuất bổ sung nội dung: Căn cứ quy định tại khoản 1 Điều này, Ủy ban nhân dân cấp xã thực hiện chi chế độ đối với các giải thi đấu thể thao do cấp xã tổ chức hàng năm, mức chi bằng 80% mức quy định tương ứng tại khoản 1 Điều này, nguồn chi từ ngân sách cấp xã.</w:t>
            </w:r>
          </w:p>
        </w:tc>
      </w:tr>
      <w:tr w:rsidR="00563871" w:rsidRPr="002D020C" w14:paraId="4CAEA447" w14:textId="77777777" w:rsidTr="00FB38F2">
        <w:tc>
          <w:tcPr>
            <w:tcW w:w="2746" w:type="dxa"/>
            <w:shd w:val="clear" w:color="auto" w:fill="FFFFFF"/>
            <w:vAlign w:val="center"/>
          </w:tcPr>
          <w:p w14:paraId="66846981" w14:textId="1BB69BC7" w:rsidR="00563871" w:rsidRPr="00665E34" w:rsidRDefault="00563871" w:rsidP="00563871">
            <w:pPr>
              <w:rPr>
                <w:rFonts w:ascii="Times New Roman" w:hAnsi="Times New Roman" w:cs="Times New Roman"/>
                <w:bCs/>
                <w:color w:val="auto"/>
                <w:spacing w:val="-2"/>
                <w:lang w:val="en-US"/>
              </w:rPr>
            </w:pPr>
            <w:r w:rsidRPr="00665E34">
              <w:rPr>
                <w:rFonts w:ascii="Times New Roman" w:hAnsi="Times New Roman" w:cs="Times New Roman"/>
                <w:bCs/>
                <w:color w:val="auto"/>
                <w:spacing w:val="-2"/>
                <w:lang w:val="en-US"/>
              </w:rPr>
              <w:t>Điều 5. Nguồn kinh phí</w:t>
            </w:r>
          </w:p>
        </w:tc>
        <w:tc>
          <w:tcPr>
            <w:tcW w:w="2919" w:type="dxa"/>
            <w:shd w:val="clear" w:color="auto" w:fill="FFFFFF"/>
            <w:vAlign w:val="center"/>
          </w:tcPr>
          <w:p w14:paraId="00D0597A" w14:textId="05AAB584" w:rsidR="00563871" w:rsidRPr="002D7EC2" w:rsidRDefault="00563871"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5. Hỗ trợ khen thưởng cho tập thể, cá nhân của tỉnh đạt thành tích xuất sắc tại các đại hội, giải thi đấu quốc tế và Đại hội Thể thao toàn quốc</w:t>
            </w:r>
          </w:p>
        </w:tc>
        <w:tc>
          <w:tcPr>
            <w:tcW w:w="3261" w:type="dxa"/>
            <w:shd w:val="clear" w:color="auto" w:fill="FFFFFF"/>
            <w:vAlign w:val="center"/>
          </w:tcPr>
          <w:p w14:paraId="5405481A" w14:textId="7696C458" w:rsidR="00563871" w:rsidRPr="002D7EC2" w:rsidRDefault="00563871" w:rsidP="00563871">
            <w:pPr>
              <w:spacing w:before="120" w:after="120" w:line="276" w:lineRule="auto"/>
              <w:jc w:val="both"/>
              <w:rPr>
                <w:rFonts w:ascii="Times New Roman" w:hAnsi="Times New Roman" w:cs="Times New Roman"/>
                <w:sz w:val="26"/>
                <w:szCs w:val="26"/>
                <w:lang w:val="en-US"/>
              </w:rPr>
            </w:pPr>
            <w:r w:rsidRPr="002D7EC2">
              <w:rPr>
                <w:rFonts w:ascii="Times New Roman" w:hAnsi="Times New Roman" w:cs="Times New Roman"/>
                <w:bCs/>
                <w:color w:val="auto"/>
                <w:lang w:val="en-US"/>
              </w:rPr>
              <w:t>Điều 5. Mức chi thực hiện chi tiêu tài chính cho các giải thi đấu thể thao</w:t>
            </w:r>
          </w:p>
        </w:tc>
        <w:tc>
          <w:tcPr>
            <w:tcW w:w="2940" w:type="dxa"/>
            <w:shd w:val="clear" w:color="auto" w:fill="FFFFFF"/>
            <w:vAlign w:val="center"/>
          </w:tcPr>
          <w:p w14:paraId="69AC02C8" w14:textId="2CFA4181" w:rsidR="00563871" w:rsidRPr="002D020C" w:rsidRDefault="00563871" w:rsidP="00563871">
            <w:pPr>
              <w:jc w:val="both"/>
              <w:rPr>
                <w:rFonts w:ascii="Times New Roman" w:hAnsi="Times New Roman" w:cs="Times New Roman"/>
                <w:b/>
                <w:bCs/>
                <w:color w:val="auto"/>
                <w:spacing w:val="-2"/>
                <w:sz w:val="26"/>
                <w:szCs w:val="26"/>
                <w:lang w:val="en-US"/>
              </w:rPr>
            </w:pPr>
            <w:r>
              <w:rPr>
                <w:rFonts w:ascii="Times New Roman" w:hAnsi="Times New Roman" w:cs="Times New Roman"/>
                <w:bCs/>
                <w:color w:val="auto"/>
                <w:spacing w:val="-2"/>
                <w:lang w:val="en-US"/>
              </w:rPr>
              <w:t>Điều 5</w:t>
            </w:r>
            <w:r w:rsidRPr="00665E34">
              <w:rPr>
                <w:rFonts w:ascii="Times New Roman" w:hAnsi="Times New Roman" w:cs="Times New Roman"/>
                <w:bCs/>
                <w:color w:val="auto"/>
                <w:spacing w:val="-2"/>
                <w:lang w:val="en-US"/>
              </w:rPr>
              <w:t>. Tổ chức thực hiện</w:t>
            </w:r>
          </w:p>
        </w:tc>
        <w:tc>
          <w:tcPr>
            <w:tcW w:w="2730" w:type="dxa"/>
            <w:shd w:val="clear" w:color="auto" w:fill="FFFFFF"/>
            <w:vAlign w:val="center"/>
          </w:tcPr>
          <w:p w14:paraId="06F3A932" w14:textId="054C6D92" w:rsidR="00563871" w:rsidRPr="002D020C" w:rsidRDefault="00563871" w:rsidP="00563871">
            <w:pPr>
              <w:jc w:val="both"/>
              <w:rPr>
                <w:rFonts w:ascii="Times New Roman" w:hAnsi="Times New Roman" w:cs="Times New Roman"/>
                <w:color w:val="auto"/>
                <w:sz w:val="26"/>
                <w:szCs w:val="26"/>
                <w:lang w:val="en-US"/>
              </w:rPr>
            </w:pPr>
            <w:r>
              <w:rPr>
                <w:rFonts w:ascii="Times New Roman" w:hAnsi="Times New Roman" w:cs="Times New Roman"/>
                <w:color w:val="auto"/>
                <w:lang w:val="en-US"/>
              </w:rPr>
              <w:t>Kế thừa các Nghị quyết</w:t>
            </w:r>
            <w:r w:rsidRPr="009C5FB8">
              <w:rPr>
                <w:rFonts w:ascii="Times New Roman" w:hAnsi="Times New Roman" w:cs="Times New Roman"/>
                <w:color w:val="auto"/>
                <w:lang w:val="en-US"/>
              </w:rPr>
              <w:t xml:space="preserve"> </w:t>
            </w:r>
            <w:r>
              <w:rPr>
                <w:rFonts w:ascii="Times New Roman" w:hAnsi="Times New Roman" w:cs="Times New Roman"/>
                <w:color w:val="auto"/>
                <w:lang w:val="en-US"/>
              </w:rPr>
              <w:t>trên và điều chỉnh theo Thông tư số 117/2025/TT-BTC ngày 16/12/2025.</w:t>
            </w:r>
          </w:p>
        </w:tc>
      </w:tr>
      <w:tr w:rsidR="00563871" w:rsidRPr="002D020C" w14:paraId="53C94E06" w14:textId="77777777" w:rsidTr="00FB38F2">
        <w:tc>
          <w:tcPr>
            <w:tcW w:w="2746" w:type="dxa"/>
            <w:shd w:val="clear" w:color="auto" w:fill="FFFFFF"/>
            <w:vAlign w:val="center"/>
          </w:tcPr>
          <w:p w14:paraId="62E10BB6" w14:textId="0B02DA48" w:rsidR="00563871" w:rsidRPr="00665E34" w:rsidRDefault="00563871" w:rsidP="00563871">
            <w:pPr>
              <w:jc w:val="both"/>
              <w:rPr>
                <w:rFonts w:ascii="Times New Roman" w:hAnsi="Times New Roman" w:cs="Times New Roman"/>
                <w:bCs/>
                <w:color w:val="auto"/>
                <w:spacing w:val="-2"/>
                <w:lang w:val="en-US"/>
              </w:rPr>
            </w:pPr>
            <w:r w:rsidRPr="00665E34">
              <w:rPr>
                <w:rFonts w:ascii="Times New Roman" w:hAnsi="Times New Roman" w:cs="Times New Roman"/>
                <w:bCs/>
                <w:color w:val="auto"/>
                <w:spacing w:val="-2"/>
                <w:lang w:val="en-US"/>
              </w:rPr>
              <w:t>Điều 6. Công tác lập dự toán, quản lý và quyết toán kinh phí</w:t>
            </w:r>
          </w:p>
        </w:tc>
        <w:tc>
          <w:tcPr>
            <w:tcW w:w="2919" w:type="dxa"/>
            <w:shd w:val="clear" w:color="auto" w:fill="FFFFFF"/>
            <w:vAlign w:val="center"/>
          </w:tcPr>
          <w:p w14:paraId="6E8B2FBD" w14:textId="04D4579F" w:rsidR="00563871" w:rsidRPr="002D7EC2" w:rsidRDefault="00563871"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6. Hỗ trợ mức chi tiền thưởng vận động viên và huấn luyện viên khi lập thành tích tại các giải vô địch thể thao quốc gia</w:t>
            </w:r>
          </w:p>
        </w:tc>
        <w:tc>
          <w:tcPr>
            <w:tcW w:w="3261" w:type="dxa"/>
            <w:shd w:val="clear" w:color="auto" w:fill="FFFFFF"/>
            <w:vAlign w:val="center"/>
          </w:tcPr>
          <w:p w14:paraId="6CB351B4" w14:textId="2BC4442D" w:rsidR="00563871" w:rsidRPr="002D7EC2" w:rsidRDefault="00563871" w:rsidP="00563871">
            <w:pPr>
              <w:spacing w:before="120" w:after="120" w:line="276" w:lineRule="auto"/>
              <w:jc w:val="both"/>
              <w:rPr>
                <w:rFonts w:ascii="Times New Roman" w:hAnsi="Times New Roman" w:cs="Times New Roman"/>
                <w:sz w:val="26"/>
                <w:szCs w:val="26"/>
                <w:lang w:val="en-US"/>
              </w:rPr>
            </w:pPr>
            <w:r w:rsidRPr="002D7EC2">
              <w:rPr>
                <w:rFonts w:ascii="Times New Roman" w:hAnsi="Times New Roman" w:cs="Times New Roman"/>
                <w:bCs/>
                <w:color w:val="auto"/>
                <w:lang w:val="en-US"/>
              </w:rPr>
              <w:t>Điều 6. Mức chi bồi dưỡng thực hiện tổ chức đồng diễn, diễu hành đối với các Đại hội thể dục thể thao, Hội thi thể thao</w:t>
            </w:r>
          </w:p>
        </w:tc>
        <w:tc>
          <w:tcPr>
            <w:tcW w:w="2940" w:type="dxa"/>
            <w:shd w:val="clear" w:color="auto" w:fill="FFFFFF"/>
            <w:vAlign w:val="center"/>
          </w:tcPr>
          <w:p w14:paraId="365263E5" w14:textId="0C1571D1" w:rsidR="00563871" w:rsidRPr="002D020C" w:rsidRDefault="00563871" w:rsidP="00563871">
            <w:pPr>
              <w:jc w:val="both"/>
              <w:rPr>
                <w:rFonts w:ascii="Times New Roman" w:hAnsi="Times New Roman" w:cs="Times New Roman"/>
                <w:b/>
                <w:bCs/>
                <w:color w:val="auto"/>
                <w:spacing w:val="-2"/>
                <w:sz w:val="26"/>
                <w:szCs w:val="26"/>
                <w:lang w:val="en-US"/>
              </w:rPr>
            </w:pPr>
            <w:r>
              <w:rPr>
                <w:rFonts w:ascii="Times New Roman" w:hAnsi="Times New Roman" w:cs="Times New Roman"/>
                <w:bCs/>
                <w:color w:val="auto"/>
                <w:spacing w:val="-2"/>
                <w:lang w:val="en-US"/>
              </w:rPr>
              <w:t>Điều 6. Điều khoản thi hành</w:t>
            </w:r>
          </w:p>
        </w:tc>
        <w:tc>
          <w:tcPr>
            <w:tcW w:w="2730" w:type="dxa"/>
            <w:shd w:val="clear" w:color="auto" w:fill="FFFFFF"/>
            <w:vAlign w:val="center"/>
          </w:tcPr>
          <w:p w14:paraId="11CF2BA0" w14:textId="7EABDA17" w:rsidR="00563871" w:rsidRPr="002D020C" w:rsidRDefault="00563871" w:rsidP="00563871">
            <w:pPr>
              <w:jc w:val="both"/>
              <w:rPr>
                <w:rFonts w:ascii="Times New Roman" w:hAnsi="Times New Roman" w:cs="Times New Roman"/>
                <w:color w:val="auto"/>
                <w:sz w:val="26"/>
                <w:szCs w:val="26"/>
                <w:lang w:val="en-US"/>
              </w:rPr>
            </w:pPr>
            <w:r>
              <w:rPr>
                <w:rFonts w:ascii="Times New Roman" w:hAnsi="Times New Roman" w:cs="Times New Roman"/>
                <w:color w:val="auto"/>
                <w:lang w:val="en-US"/>
              </w:rPr>
              <w:t>Kế thừa các Nghị quyết</w:t>
            </w:r>
            <w:r w:rsidRPr="009C5FB8">
              <w:rPr>
                <w:rFonts w:ascii="Times New Roman" w:hAnsi="Times New Roman" w:cs="Times New Roman"/>
                <w:color w:val="auto"/>
                <w:lang w:val="en-US"/>
              </w:rPr>
              <w:t xml:space="preserve"> </w:t>
            </w:r>
            <w:r>
              <w:rPr>
                <w:rFonts w:ascii="Times New Roman" w:hAnsi="Times New Roman" w:cs="Times New Roman"/>
                <w:color w:val="auto"/>
                <w:lang w:val="en-US"/>
              </w:rPr>
              <w:t>trên và điều chỉnh theo Thông tư số 117/2025/TT-BTC ngày 16/12/2025.</w:t>
            </w:r>
          </w:p>
        </w:tc>
      </w:tr>
      <w:tr w:rsidR="00563871" w:rsidRPr="002D020C" w14:paraId="2425A83A" w14:textId="77777777" w:rsidTr="00FB38F2">
        <w:trPr>
          <w:trHeight w:val="881"/>
        </w:trPr>
        <w:tc>
          <w:tcPr>
            <w:tcW w:w="2746" w:type="dxa"/>
            <w:shd w:val="clear" w:color="auto" w:fill="FFFFFF"/>
            <w:vAlign w:val="center"/>
          </w:tcPr>
          <w:p w14:paraId="7CB28D2E" w14:textId="7691A5F3" w:rsidR="00563871" w:rsidRPr="002D7EC2" w:rsidRDefault="00563871" w:rsidP="00563871">
            <w:pPr>
              <w:rPr>
                <w:rFonts w:ascii="Times New Roman" w:hAnsi="Times New Roman" w:cs="Times New Roman"/>
                <w:bCs/>
                <w:color w:val="auto"/>
                <w:lang w:val="en-US"/>
              </w:rPr>
            </w:pPr>
            <w:r w:rsidRPr="002D7EC2">
              <w:rPr>
                <w:rFonts w:ascii="Times New Roman" w:hAnsi="Times New Roman" w:cs="Times New Roman"/>
                <w:bCs/>
                <w:color w:val="auto"/>
                <w:lang w:val="en-US"/>
              </w:rPr>
              <w:lastRenderedPageBreak/>
              <w:t>Điều 7. Tổ chức thực hiện</w:t>
            </w:r>
          </w:p>
        </w:tc>
        <w:tc>
          <w:tcPr>
            <w:tcW w:w="2919" w:type="dxa"/>
            <w:shd w:val="clear" w:color="auto" w:fill="FFFFFF"/>
            <w:vAlign w:val="center"/>
          </w:tcPr>
          <w:p w14:paraId="68DF23AE" w14:textId="67A533DB" w:rsidR="00563871" w:rsidRPr="002D7EC2" w:rsidRDefault="00563871"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7. Hỗ trợ đãi ngộ đặc thù vận động viên tài năng</w:t>
            </w:r>
          </w:p>
        </w:tc>
        <w:tc>
          <w:tcPr>
            <w:tcW w:w="3261" w:type="dxa"/>
            <w:shd w:val="clear" w:color="auto" w:fill="FFFFFF"/>
            <w:vAlign w:val="center"/>
          </w:tcPr>
          <w:p w14:paraId="5368C1B8" w14:textId="0D3C72F8" w:rsidR="00563871" w:rsidRPr="002D020C" w:rsidRDefault="00563871" w:rsidP="00563871">
            <w:pPr>
              <w:spacing w:before="120" w:after="120" w:line="276" w:lineRule="auto"/>
              <w:jc w:val="both"/>
              <w:rPr>
                <w:rFonts w:ascii="Times New Roman" w:hAnsi="Times New Roman" w:cs="Times New Roman"/>
                <w:spacing w:val="-6"/>
                <w:sz w:val="26"/>
                <w:szCs w:val="26"/>
                <w:lang w:val="en-US"/>
              </w:rPr>
            </w:pPr>
            <w:r>
              <w:rPr>
                <w:rFonts w:ascii="Times New Roman" w:hAnsi="Times New Roman" w:cs="Times New Roman"/>
                <w:bCs/>
                <w:color w:val="auto"/>
                <w:spacing w:val="-2"/>
                <w:lang w:val="en-US"/>
              </w:rPr>
              <w:t>Điều 7. Mức chi các khoản chi khác cho các giải thi đấu thể thao</w:t>
            </w:r>
          </w:p>
        </w:tc>
        <w:tc>
          <w:tcPr>
            <w:tcW w:w="2940" w:type="dxa"/>
            <w:shd w:val="clear" w:color="auto" w:fill="FFFFFF"/>
            <w:vAlign w:val="center"/>
          </w:tcPr>
          <w:p w14:paraId="74DCA52E" w14:textId="77777777" w:rsidR="00563871" w:rsidRPr="002D020C" w:rsidRDefault="00563871" w:rsidP="00563871">
            <w:pPr>
              <w:jc w:val="both"/>
              <w:rPr>
                <w:rFonts w:ascii="Times New Roman" w:hAnsi="Times New Roman" w:cs="Times New Roman"/>
                <w:b/>
                <w:bCs/>
                <w:color w:val="auto"/>
                <w:spacing w:val="-2"/>
                <w:sz w:val="26"/>
                <w:szCs w:val="26"/>
                <w:lang w:val="en-US"/>
              </w:rPr>
            </w:pPr>
          </w:p>
        </w:tc>
        <w:tc>
          <w:tcPr>
            <w:tcW w:w="2730" w:type="dxa"/>
            <w:shd w:val="clear" w:color="auto" w:fill="FFFFFF"/>
          </w:tcPr>
          <w:p w14:paraId="4FB9C0C8" w14:textId="77777777" w:rsidR="00563871" w:rsidRPr="002D020C" w:rsidRDefault="00563871" w:rsidP="00563871">
            <w:pPr>
              <w:jc w:val="both"/>
              <w:rPr>
                <w:rFonts w:ascii="Times New Roman" w:hAnsi="Times New Roman" w:cs="Times New Roman"/>
                <w:color w:val="auto"/>
                <w:sz w:val="26"/>
                <w:szCs w:val="26"/>
                <w:lang w:val="en-US"/>
              </w:rPr>
            </w:pPr>
          </w:p>
        </w:tc>
      </w:tr>
      <w:tr w:rsidR="002D7EC2" w:rsidRPr="002D020C" w14:paraId="78023370" w14:textId="77777777" w:rsidTr="00FB38F2">
        <w:tc>
          <w:tcPr>
            <w:tcW w:w="2746" w:type="dxa"/>
            <w:shd w:val="clear" w:color="auto" w:fill="FFFFFF"/>
            <w:vAlign w:val="center"/>
          </w:tcPr>
          <w:p w14:paraId="53B37E4E" w14:textId="3E7B3EF5" w:rsidR="002D7EC2" w:rsidRPr="002D7EC2" w:rsidRDefault="002D7EC2" w:rsidP="00563871">
            <w:pPr>
              <w:rPr>
                <w:rFonts w:ascii="Times New Roman" w:hAnsi="Times New Roman" w:cs="Times New Roman"/>
                <w:bCs/>
                <w:color w:val="auto"/>
                <w:lang w:val="en-US"/>
              </w:rPr>
            </w:pPr>
            <w:r w:rsidRPr="002D7EC2">
              <w:rPr>
                <w:rFonts w:ascii="Times New Roman" w:hAnsi="Times New Roman" w:cs="Times New Roman"/>
                <w:bCs/>
                <w:color w:val="auto"/>
                <w:lang w:val="en-US"/>
              </w:rPr>
              <w:t>Điều 8. Hiệu lực thi hành</w:t>
            </w:r>
          </w:p>
        </w:tc>
        <w:tc>
          <w:tcPr>
            <w:tcW w:w="2919" w:type="dxa"/>
            <w:shd w:val="clear" w:color="auto" w:fill="FFFFFF"/>
            <w:vAlign w:val="center"/>
          </w:tcPr>
          <w:p w14:paraId="280149E2" w14:textId="38D82100" w:rsidR="002D7EC2" w:rsidRPr="002D7EC2" w:rsidRDefault="002D7EC2"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8. Hỗ trợ tiền tiêu vặt đối với huấn luyện viên, vận động viên trong thời gian tập huấn tại nước ngoài</w:t>
            </w:r>
          </w:p>
        </w:tc>
        <w:tc>
          <w:tcPr>
            <w:tcW w:w="3261" w:type="dxa"/>
            <w:shd w:val="clear" w:color="auto" w:fill="FFFFFF"/>
          </w:tcPr>
          <w:p w14:paraId="547C2AE2" w14:textId="77777777" w:rsidR="002D7EC2" w:rsidRPr="002D020C" w:rsidRDefault="002D7EC2" w:rsidP="00563871">
            <w:pPr>
              <w:spacing w:before="120" w:after="120" w:line="276" w:lineRule="auto"/>
              <w:jc w:val="both"/>
              <w:rPr>
                <w:rFonts w:ascii="Times New Roman" w:hAnsi="Times New Roman" w:cs="Times New Roman"/>
                <w:spacing w:val="-6"/>
                <w:sz w:val="26"/>
                <w:szCs w:val="26"/>
                <w:lang w:val="en-US"/>
              </w:rPr>
            </w:pPr>
          </w:p>
        </w:tc>
        <w:tc>
          <w:tcPr>
            <w:tcW w:w="2940" w:type="dxa"/>
            <w:shd w:val="clear" w:color="auto" w:fill="FFFFFF"/>
            <w:vAlign w:val="center"/>
          </w:tcPr>
          <w:p w14:paraId="3A85FA64" w14:textId="77777777" w:rsidR="002D7EC2" w:rsidRPr="002D020C" w:rsidRDefault="002D7EC2" w:rsidP="00563871">
            <w:pPr>
              <w:jc w:val="both"/>
              <w:rPr>
                <w:rFonts w:ascii="Times New Roman" w:hAnsi="Times New Roman" w:cs="Times New Roman"/>
                <w:b/>
                <w:bCs/>
                <w:color w:val="auto"/>
                <w:spacing w:val="-2"/>
                <w:sz w:val="26"/>
                <w:szCs w:val="26"/>
                <w:lang w:val="en-US"/>
              </w:rPr>
            </w:pPr>
          </w:p>
        </w:tc>
        <w:tc>
          <w:tcPr>
            <w:tcW w:w="2730" w:type="dxa"/>
            <w:vMerge w:val="restart"/>
            <w:shd w:val="clear" w:color="auto" w:fill="FFFFFF"/>
          </w:tcPr>
          <w:p w14:paraId="40E3A372" w14:textId="619492DE" w:rsidR="002D7EC2" w:rsidRPr="002D020C" w:rsidRDefault="002D7EC2" w:rsidP="00563871">
            <w:pPr>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Các nội dung quy định về chính sách đặc thù cho huấn luyện viên, vận động viên đã bị bãi bỏ bởi Nghị quyết số 44/2025/NQ-HĐND ngày 29/9/2025 của Hội đồng nhân dân Thành phố H</w:t>
            </w:r>
            <w:bookmarkStart w:id="0" w:name="_GoBack"/>
            <w:bookmarkEnd w:id="0"/>
            <w:r>
              <w:rPr>
                <w:rFonts w:ascii="Times New Roman" w:hAnsi="Times New Roman" w:cs="Times New Roman"/>
                <w:color w:val="auto"/>
                <w:sz w:val="26"/>
                <w:szCs w:val="26"/>
                <w:lang w:val="en-US"/>
              </w:rPr>
              <w:t>ồ Chí Minh.</w:t>
            </w:r>
          </w:p>
        </w:tc>
      </w:tr>
      <w:tr w:rsidR="002D7EC2" w:rsidRPr="002D020C" w14:paraId="7A685E83" w14:textId="77777777" w:rsidTr="00FB38F2">
        <w:trPr>
          <w:trHeight w:val="1261"/>
        </w:trPr>
        <w:tc>
          <w:tcPr>
            <w:tcW w:w="2746" w:type="dxa"/>
            <w:shd w:val="clear" w:color="auto" w:fill="FFFFFF"/>
          </w:tcPr>
          <w:p w14:paraId="077C4687" w14:textId="77777777" w:rsidR="002D7EC2" w:rsidRPr="002D7EC2" w:rsidRDefault="002D7EC2" w:rsidP="00563871">
            <w:pPr>
              <w:jc w:val="both"/>
              <w:rPr>
                <w:rFonts w:ascii="Times New Roman" w:hAnsi="Times New Roman" w:cs="Times New Roman"/>
                <w:sz w:val="26"/>
                <w:szCs w:val="26"/>
              </w:rPr>
            </w:pPr>
          </w:p>
        </w:tc>
        <w:tc>
          <w:tcPr>
            <w:tcW w:w="2919" w:type="dxa"/>
            <w:shd w:val="clear" w:color="auto" w:fill="FFFFFF"/>
            <w:vAlign w:val="center"/>
          </w:tcPr>
          <w:p w14:paraId="45AA5FD1" w14:textId="4F83C261" w:rsidR="002D7EC2" w:rsidRPr="002D7EC2" w:rsidRDefault="002D7EC2"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9. Hỗ trợ huấn luyện viên, vận động viên bị chấn thương trong quá trình tập luyện, tập huấn và thi đấu</w:t>
            </w:r>
          </w:p>
        </w:tc>
        <w:tc>
          <w:tcPr>
            <w:tcW w:w="3261" w:type="dxa"/>
            <w:shd w:val="clear" w:color="auto" w:fill="FFFFFF"/>
          </w:tcPr>
          <w:p w14:paraId="342AA64D" w14:textId="77777777" w:rsidR="002D7EC2" w:rsidRPr="002D020C" w:rsidRDefault="002D7EC2" w:rsidP="00563871">
            <w:pPr>
              <w:spacing w:before="120" w:after="120" w:line="276" w:lineRule="auto"/>
              <w:jc w:val="both"/>
              <w:rPr>
                <w:rFonts w:ascii="Times New Roman" w:hAnsi="Times New Roman" w:cs="Times New Roman"/>
                <w:spacing w:val="-6"/>
                <w:sz w:val="26"/>
                <w:szCs w:val="26"/>
                <w:lang w:val="en-US"/>
              </w:rPr>
            </w:pPr>
          </w:p>
        </w:tc>
        <w:tc>
          <w:tcPr>
            <w:tcW w:w="2940" w:type="dxa"/>
            <w:shd w:val="clear" w:color="auto" w:fill="FFFFFF"/>
            <w:vAlign w:val="center"/>
          </w:tcPr>
          <w:p w14:paraId="633A957D" w14:textId="77777777" w:rsidR="002D7EC2" w:rsidRPr="002D020C" w:rsidRDefault="002D7EC2" w:rsidP="00563871">
            <w:pPr>
              <w:jc w:val="both"/>
              <w:rPr>
                <w:rFonts w:ascii="Times New Roman" w:hAnsi="Times New Roman" w:cs="Times New Roman"/>
                <w:b/>
                <w:bCs/>
                <w:color w:val="auto"/>
                <w:spacing w:val="-2"/>
                <w:sz w:val="26"/>
                <w:szCs w:val="26"/>
                <w:lang w:val="en-US"/>
              </w:rPr>
            </w:pPr>
          </w:p>
        </w:tc>
        <w:tc>
          <w:tcPr>
            <w:tcW w:w="2730" w:type="dxa"/>
            <w:vMerge/>
            <w:shd w:val="clear" w:color="auto" w:fill="FFFFFF"/>
          </w:tcPr>
          <w:p w14:paraId="5985BB1E" w14:textId="77777777" w:rsidR="002D7EC2" w:rsidRPr="002D020C" w:rsidRDefault="002D7EC2" w:rsidP="00563871">
            <w:pPr>
              <w:jc w:val="both"/>
              <w:rPr>
                <w:rFonts w:ascii="Times New Roman" w:hAnsi="Times New Roman" w:cs="Times New Roman"/>
                <w:color w:val="auto"/>
                <w:sz w:val="26"/>
                <w:szCs w:val="26"/>
                <w:lang w:val="en-US"/>
              </w:rPr>
            </w:pPr>
          </w:p>
        </w:tc>
      </w:tr>
      <w:tr w:rsidR="002D7EC2" w:rsidRPr="002D020C" w14:paraId="4B42430C" w14:textId="77777777" w:rsidTr="00FB38F2">
        <w:trPr>
          <w:trHeight w:val="833"/>
        </w:trPr>
        <w:tc>
          <w:tcPr>
            <w:tcW w:w="2746" w:type="dxa"/>
            <w:shd w:val="clear" w:color="auto" w:fill="FFFFFF"/>
          </w:tcPr>
          <w:p w14:paraId="2A0988A5" w14:textId="77777777" w:rsidR="002D7EC2" w:rsidRPr="002D7EC2" w:rsidRDefault="002D7EC2" w:rsidP="00563871">
            <w:pPr>
              <w:jc w:val="both"/>
              <w:rPr>
                <w:rFonts w:ascii="Times New Roman" w:hAnsi="Times New Roman" w:cs="Times New Roman"/>
                <w:sz w:val="26"/>
                <w:szCs w:val="26"/>
              </w:rPr>
            </w:pPr>
          </w:p>
        </w:tc>
        <w:tc>
          <w:tcPr>
            <w:tcW w:w="2919" w:type="dxa"/>
            <w:shd w:val="clear" w:color="auto" w:fill="FFFFFF"/>
            <w:vAlign w:val="center"/>
          </w:tcPr>
          <w:p w14:paraId="4ACBDBB6" w14:textId="476E3957" w:rsidR="002D7EC2" w:rsidRPr="002D7EC2" w:rsidRDefault="002D7EC2"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10. Mức chi khen thưởng khác cho các giải thi đấu thể thao trên địa bàn tỉnh</w:t>
            </w:r>
          </w:p>
        </w:tc>
        <w:tc>
          <w:tcPr>
            <w:tcW w:w="3261" w:type="dxa"/>
            <w:shd w:val="clear" w:color="auto" w:fill="FFFFFF"/>
          </w:tcPr>
          <w:p w14:paraId="09B8B0AF" w14:textId="77777777" w:rsidR="002D7EC2" w:rsidRPr="002D020C" w:rsidRDefault="002D7EC2" w:rsidP="00563871">
            <w:pPr>
              <w:spacing w:before="120" w:after="120" w:line="276" w:lineRule="auto"/>
              <w:jc w:val="both"/>
              <w:rPr>
                <w:rFonts w:ascii="Times New Roman" w:hAnsi="Times New Roman" w:cs="Times New Roman"/>
                <w:spacing w:val="-6"/>
                <w:sz w:val="26"/>
                <w:szCs w:val="26"/>
                <w:lang w:val="en-US"/>
              </w:rPr>
            </w:pPr>
          </w:p>
        </w:tc>
        <w:tc>
          <w:tcPr>
            <w:tcW w:w="2940" w:type="dxa"/>
            <w:shd w:val="clear" w:color="auto" w:fill="FFFFFF"/>
            <w:vAlign w:val="center"/>
          </w:tcPr>
          <w:p w14:paraId="0D5EDBB4" w14:textId="77777777" w:rsidR="002D7EC2" w:rsidRPr="002D020C" w:rsidRDefault="002D7EC2" w:rsidP="00563871">
            <w:pPr>
              <w:jc w:val="both"/>
              <w:rPr>
                <w:rFonts w:ascii="Times New Roman" w:hAnsi="Times New Roman" w:cs="Times New Roman"/>
                <w:b/>
                <w:bCs/>
                <w:color w:val="auto"/>
                <w:spacing w:val="-2"/>
                <w:sz w:val="26"/>
                <w:szCs w:val="26"/>
                <w:lang w:val="en-US"/>
              </w:rPr>
            </w:pPr>
          </w:p>
        </w:tc>
        <w:tc>
          <w:tcPr>
            <w:tcW w:w="2730" w:type="dxa"/>
            <w:vMerge/>
            <w:shd w:val="clear" w:color="auto" w:fill="FFFFFF"/>
          </w:tcPr>
          <w:p w14:paraId="0B1F4FBA" w14:textId="77777777" w:rsidR="002D7EC2" w:rsidRPr="002D020C" w:rsidRDefault="002D7EC2" w:rsidP="00563871">
            <w:pPr>
              <w:jc w:val="both"/>
              <w:rPr>
                <w:rFonts w:ascii="Times New Roman" w:hAnsi="Times New Roman" w:cs="Times New Roman"/>
                <w:color w:val="auto"/>
                <w:sz w:val="26"/>
                <w:szCs w:val="26"/>
                <w:lang w:val="en-US"/>
              </w:rPr>
            </w:pPr>
          </w:p>
        </w:tc>
      </w:tr>
      <w:tr w:rsidR="002D7EC2" w:rsidRPr="002D020C" w14:paraId="1733993E" w14:textId="77777777" w:rsidTr="00FB38F2">
        <w:trPr>
          <w:trHeight w:val="832"/>
        </w:trPr>
        <w:tc>
          <w:tcPr>
            <w:tcW w:w="2746" w:type="dxa"/>
            <w:shd w:val="clear" w:color="auto" w:fill="FFFFFF"/>
          </w:tcPr>
          <w:p w14:paraId="48131134" w14:textId="77777777" w:rsidR="002D7EC2" w:rsidRPr="002D7EC2" w:rsidRDefault="002D7EC2" w:rsidP="00563871">
            <w:pPr>
              <w:jc w:val="both"/>
              <w:rPr>
                <w:rFonts w:ascii="Times New Roman" w:hAnsi="Times New Roman" w:cs="Times New Roman"/>
                <w:sz w:val="26"/>
                <w:szCs w:val="26"/>
              </w:rPr>
            </w:pPr>
          </w:p>
        </w:tc>
        <w:tc>
          <w:tcPr>
            <w:tcW w:w="2919" w:type="dxa"/>
            <w:shd w:val="clear" w:color="auto" w:fill="FFFFFF"/>
            <w:vAlign w:val="center"/>
          </w:tcPr>
          <w:p w14:paraId="1E87DCAC" w14:textId="33678C87" w:rsidR="002D7EC2" w:rsidRPr="002D7EC2" w:rsidRDefault="002D7EC2"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11. Chế độ chi tiêu tài chính đối với các hoạt động thể dục, thể thao trên địa bàn tỉnh</w:t>
            </w:r>
          </w:p>
        </w:tc>
        <w:tc>
          <w:tcPr>
            <w:tcW w:w="3261" w:type="dxa"/>
            <w:shd w:val="clear" w:color="auto" w:fill="FFFFFF"/>
          </w:tcPr>
          <w:p w14:paraId="5D2971B9" w14:textId="77777777" w:rsidR="002D7EC2" w:rsidRPr="002D020C" w:rsidRDefault="002D7EC2" w:rsidP="00563871">
            <w:pPr>
              <w:spacing w:before="120" w:after="120" w:line="276" w:lineRule="auto"/>
              <w:jc w:val="both"/>
              <w:rPr>
                <w:rFonts w:ascii="Times New Roman" w:hAnsi="Times New Roman" w:cs="Times New Roman"/>
                <w:spacing w:val="-6"/>
                <w:sz w:val="26"/>
                <w:szCs w:val="26"/>
                <w:lang w:val="en-US"/>
              </w:rPr>
            </w:pPr>
          </w:p>
        </w:tc>
        <w:tc>
          <w:tcPr>
            <w:tcW w:w="2940" w:type="dxa"/>
            <w:shd w:val="clear" w:color="auto" w:fill="FFFFFF"/>
            <w:vAlign w:val="center"/>
          </w:tcPr>
          <w:p w14:paraId="19FCABBD" w14:textId="77777777" w:rsidR="002D7EC2" w:rsidRPr="002D020C" w:rsidRDefault="002D7EC2" w:rsidP="00563871">
            <w:pPr>
              <w:jc w:val="both"/>
              <w:rPr>
                <w:rFonts w:ascii="Times New Roman" w:hAnsi="Times New Roman" w:cs="Times New Roman"/>
                <w:b/>
                <w:bCs/>
                <w:color w:val="auto"/>
                <w:spacing w:val="-2"/>
                <w:sz w:val="26"/>
                <w:szCs w:val="26"/>
                <w:lang w:val="en-US"/>
              </w:rPr>
            </w:pPr>
          </w:p>
        </w:tc>
        <w:tc>
          <w:tcPr>
            <w:tcW w:w="2730" w:type="dxa"/>
            <w:vMerge/>
            <w:shd w:val="clear" w:color="auto" w:fill="FFFFFF"/>
          </w:tcPr>
          <w:p w14:paraId="0D5529DC" w14:textId="77777777" w:rsidR="002D7EC2" w:rsidRPr="002D020C" w:rsidRDefault="002D7EC2" w:rsidP="00563871">
            <w:pPr>
              <w:jc w:val="both"/>
              <w:rPr>
                <w:rFonts w:ascii="Times New Roman" w:hAnsi="Times New Roman" w:cs="Times New Roman"/>
                <w:color w:val="auto"/>
                <w:sz w:val="26"/>
                <w:szCs w:val="26"/>
                <w:lang w:val="en-US"/>
              </w:rPr>
            </w:pPr>
          </w:p>
        </w:tc>
      </w:tr>
      <w:tr w:rsidR="002D7EC2" w:rsidRPr="002D020C" w14:paraId="5DBD946E" w14:textId="77777777" w:rsidTr="00FB38F2">
        <w:trPr>
          <w:trHeight w:val="981"/>
        </w:trPr>
        <w:tc>
          <w:tcPr>
            <w:tcW w:w="2746" w:type="dxa"/>
            <w:shd w:val="clear" w:color="auto" w:fill="FFFFFF"/>
          </w:tcPr>
          <w:p w14:paraId="318A9B78" w14:textId="77777777" w:rsidR="002D7EC2" w:rsidRPr="002D7EC2" w:rsidRDefault="002D7EC2" w:rsidP="00563871">
            <w:pPr>
              <w:jc w:val="both"/>
              <w:rPr>
                <w:rFonts w:ascii="Times New Roman" w:hAnsi="Times New Roman" w:cs="Times New Roman"/>
                <w:sz w:val="26"/>
                <w:szCs w:val="26"/>
              </w:rPr>
            </w:pPr>
          </w:p>
        </w:tc>
        <w:tc>
          <w:tcPr>
            <w:tcW w:w="2919" w:type="dxa"/>
            <w:shd w:val="clear" w:color="auto" w:fill="FFFFFF"/>
            <w:vAlign w:val="center"/>
          </w:tcPr>
          <w:p w14:paraId="2D7B0A0F" w14:textId="122FB3FE" w:rsidR="002D7EC2" w:rsidRPr="002D7EC2" w:rsidRDefault="002D7EC2" w:rsidP="00563871">
            <w:pPr>
              <w:jc w:val="both"/>
              <w:rPr>
                <w:rFonts w:ascii="Times New Roman" w:hAnsi="Times New Roman" w:cs="Times New Roman"/>
                <w:sz w:val="26"/>
                <w:szCs w:val="26"/>
              </w:rPr>
            </w:pPr>
            <w:r w:rsidRPr="002D7EC2">
              <w:rPr>
                <w:rFonts w:ascii="Times New Roman" w:hAnsi="Times New Roman" w:cs="Times New Roman"/>
                <w:bCs/>
                <w:color w:val="auto"/>
                <w:lang w:val="en-US"/>
              </w:rPr>
              <w:t>Điều 12. Hỗ trợ đối với viên chức có nơi ở đăng ký thường trú xa nơi làm việc</w:t>
            </w:r>
          </w:p>
        </w:tc>
        <w:tc>
          <w:tcPr>
            <w:tcW w:w="3261" w:type="dxa"/>
            <w:shd w:val="clear" w:color="auto" w:fill="FFFFFF"/>
          </w:tcPr>
          <w:p w14:paraId="643DB584" w14:textId="77777777" w:rsidR="002D7EC2" w:rsidRPr="002D020C" w:rsidRDefault="002D7EC2" w:rsidP="00563871">
            <w:pPr>
              <w:spacing w:before="120" w:after="120" w:line="276" w:lineRule="auto"/>
              <w:jc w:val="both"/>
              <w:rPr>
                <w:rFonts w:ascii="Times New Roman" w:hAnsi="Times New Roman" w:cs="Times New Roman"/>
                <w:spacing w:val="-6"/>
                <w:sz w:val="26"/>
                <w:szCs w:val="26"/>
                <w:lang w:val="en-US"/>
              </w:rPr>
            </w:pPr>
          </w:p>
        </w:tc>
        <w:tc>
          <w:tcPr>
            <w:tcW w:w="2940" w:type="dxa"/>
            <w:shd w:val="clear" w:color="auto" w:fill="FFFFFF"/>
            <w:vAlign w:val="center"/>
          </w:tcPr>
          <w:p w14:paraId="2E698184" w14:textId="77777777" w:rsidR="002D7EC2" w:rsidRPr="002D020C" w:rsidRDefault="002D7EC2" w:rsidP="00563871">
            <w:pPr>
              <w:jc w:val="both"/>
              <w:rPr>
                <w:rFonts w:ascii="Times New Roman" w:hAnsi="Times New Roman" w:cs="Times New Roman"/>
                <w:b/>
                <w:bCs/>
                <w:color w:val="auto"/>
                <w:spacing w:val="-2"/>
                <w:sz w:val="26"/>
                <w:szCs w:val="26"/>
                <w:lang w:val="en-US"/>
              </w:rPr>
            </w:pPr>
          </w:p>
        </w:tc>
        <w:tc>
          <w:tcPr>
            <w:tcW w:w="2730" w:type="dxa"/>
            <w:vMerge/>
            <w:shd w:val="clear" w:color="auto" w:fill="FFFFFF"/>
          </w:tcPr>
          <w:p w14:paraId="209A6266" w14:textId="77777777" w:rsidR="002D7EC2" w:rsidRPr="002D020C" w:rsidRDefault="002D7EC2" w:rsidP="00563871">
            <w:pPr>
              <w:jc w:val="both"/>
              <w:rPr>
                <w:rFonts w:ascii="Times New Roman" w:hAnsi="Times New Roman" w:cs="Times New Roman"/>
                <w:color w:val="auto"/>
                <w:sz w:val="26"/>
                <w:szCs w:val="26"/>
                <w:lang w:val="en-US"/>
              </w:rPr>
            </w:pPr>
          </w:p>
        </w:tc>
      </w:tr>
    </w:tbl>
    <w:p w14:paraId="308C3F0B" w14:textId="77777777" w:rsidR="008842AA" w:rsidRPr="00E0772F" w:rsidRDefault="008842AA" w:rsidP="00561271">
      <w:pPr>
        <w:spacing w:before="120" w:after="120"/>
        <w:ind w:firstLine="567"/>
        <w:jc w:val="both"/>
        <w:rPr>
          <w:rFonts w:ascii="Times New Roman" w:hAnsi="Times New Roman" w:cs="Times New Roman"/>
          <w:bCs/>
          <w:color w:val="auto"/>
          <w:sz w:val="28"/>
          <w:szCs w:val="28"/>
          <w:lang w:val="en-US"/>
        </w:rPr>
      </w:pPr>
      <w:r w:rsidRPr="00E0772F">
        <w:rPr>
          <w:rFonts w:ascii="Times New Roman" w:hAnsi="Times New Roman" w:cs="Times New Roman"/>
          <w:b/>
          <w:bCs/>
          <w:color w:val="auto"/>
          <w:sz w:val="28"/>
          <w:szCs w:val="28"/>
          <w:lang w:val="en-US"/>
        </w:rPr>
        <w:t>2. Đối với văn bản ban hành mới</w:t>
      </w:r>
      <w:r w:rsidRPr="00E0772F">
        <w:rPr>
          <w:rFonts w:ascii="Times New Roman" w:hAnsi="Times New Roman" w:cs="Times New Roman"/>
          <w:bCs/>
          <w:color w:val="auto"/>
          <w:sz w:val="28"/>
          <w:szCs w:val="28"/>
          <w:lang w:val="en-US"/>
        </w:rPr>
        <w:t xml:space="preserve"> </w:t>
      </w:r>
    </w:p>
    <w:p w14:paraId="0F5B526E" w14:textId="77777777" w:rsidR="008842AA" w:rsidRPr="00E0772F" w:rsidRDefault="008842AA" w:rsidP="00561271">
      <w:pPr>
        <w:spacing w:before="120" w:after="120"/>
        <w:ind w:firstLine="567"/>
        <w:jc w:val="both"/>
        <w:rPr>
          <w:rFonts w:ascii="Times New Roman" w:hAnsi="Times New Roman" w:cs="Times New Roman"/>
          <w:bCs/>
          <w:color w:val="auto"/>
          <w:sz w:val="28"/>
          <w:szCs w:val="28"/>
          <w:lang w:val="en-US"/>
        </w:rPr>
      </w:pPr>
      <w:r w:rsidRPr="00E0772F">
        <w:rPr>
          <w:rFonts w:ascii="Times New Roman" w:hAnsi="Times New Roman" w:cs="Times New Roman"/>
          <w:bCs/>
          <w:color w:val="auto"/>
          <w:sz w:val="28"/>
          <w:szCs w:val="28"/>
          <w:lang w:val="en-US"/>
        </w:rPr>
        <w:t>Không có.</w:t>
      </w:r>
    </w:p>
    <w:p w14:paraId="3D75F9BD" w14:textId="77777777" w:rsidR="00CA13BC" w:rsidRPr="008D6588" w:rsidRDefault="00201F68" w:rsidP="008D6588">
      <w:pPr>
        <w:spacing w:before="120" w:after="120"/>
        <w:ind w:firstLine="567"/>
        <w:jc w:val="both"/>
        <w:rPr>
          <w:rFonts w:ascii="Times New Roman" w:hAnsi="Times New Roman" w:cs="Times New Roman"/>
          <w:bCs/>
          <w:color w:val="auto"/>
          <w:sz w:val="28"/>
          <w:szCs w:val="28"/>
          <w:lang w:val="en-US"/>
        </w:rPr>
      </w:pPr>
      <w:r w:rsidRPr="00E0772F">
        <w:rPr>
          <w:rFonts w:ascii="Times New Roman" w:hAnsi="Times New Roman" w:cs="Times New Roman"/>
          <w:bCs/>
          <w:color w:val="auto"/>
          <w:sz w:val="28"/>
          <w:szCs w:val="28"/>
          <w:lang w:val="en-US"/>
        </w:rPr>
        <w:t xml:space="preserve">Trên đây là kết quả so sánh, thuyết minh nội dung dự thảo Nghị quyết với các quy định pháp luật hiện hành của </w:t>
      </w:r>
      <w:r w:rsidRPr="00E0772F">
        <w:rPr>
          <w:rFonts w:ascii="Times New Roman" w:hAnsi="Times New Roman" w:cs="Times New Roman"/>
          <w:color w:val="auto"/>
          <w:sz w:val="28"/>
          <w:szCs w:val="28"/>
          <w:lang w:val="en-US"/>
        </w:rPr>
        <w:t>Ủy ban nhân dân Thành phố</w:t>
      </w:r>
      <w:r w:rsidRPr="00E0772F">
        <w:rPr>
          <w:rFonts w:ascii="Times New Roman" w:hAnsi="Times New Roman" w:cs="Times New Roman"/>
          <w:bCs/>
          <w:color w:val="auto"/>
          <w:sz w:val="28"/>
          <w:szCs w:val="28"/>
          <w:lang w:val="en-US"/>
        </w:rPr>
        <w:t>./.</w:t>
      </w:r>
    </w:p>
    <w:sectPr w:rsidR="00CA13BC" w:rsidRPr="008D6588" w:rsidSect="002D7EC2">
      <w:headerReference w:type="even" r:id="rId8"/>
      <w:headerReference w:type="default" r:id="rId9"/>
      <w:pgSz w:w="16840" w:h="11907" w:orient="landscape" w:code="9"/>
      <w:pgMar w:top="1134" w:right="1134" w:bottom="1701" w:left="1134" w:header="68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7271" w14:textId="77777777" w:rsidR="00662C2B" w:rsidRDefault="00662C2B">
      <w:r>
        <w:separator/>
      </w:r>
    </w:p>
  </w:endnote>
  <w:endnote w:type="continuationSeparator" w:id="0">
    <w:p w14:paraId="6868172F" w14:textId="77777777" w:rsidR="00662C2B" w:rsidRDefault="0066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6805" w14:textId="77777777" w:rsidR="00662C2B" w:rsidRDefault="00662C2B">
      <w:r>
        <w:separator/>
      </w:r>
    </w:p>
  </w:footnote>
  <w:footnote w:type="continuationSeparator" w:id="0">
    <w:p w14:paraId="7FF4AFB0" w14:textId="77777777" w:rsidR="00662C2B" w:rsidRDefault="00662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57EF" w14:textId="77777777" w:rsidR="00903755" w:rsidRDefault="0090375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542" w14:textId="16F16958" w:rsidR="00903755" w:rsidRDefault="00653FC5" w:rsidP="00B1009A">
    <w:pPr>
      <w:pStyle w:val="Header"/>
      <w:jc w:val="center"/>
    </w:pPr>
    <w:r>
      <w:fldChar w:fldCharType="begin"/>
    </w:r>
    <w:r>
      <w:instrText xml:space="preserve"> PAGE   \* MERGEFORMAT </w:instrText>
    </w:r>
    <w:r>
      <w:fldChar w:fldCharType="separate"/>
    </w:r>
    <w:r w:rsidR="002D7EC2">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B337F"/>
    <w:multiLevelType w:val="hybridMultilevel"/>
    <w:tmpl w:val="E1D2E876"/>
    <w:lvl w:ilvl="0" w:tplc="72A6EB1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9CB72"/>
    <w:multiLevelType w:val="multilevel"/>
    <w:tmpl w:val="16B2FC54"/>
    <w:lvl w:ilvl="0">
      <w:start w:val="1"/>
      <w:numFmt w:val="lowerLetter"/>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65CF12EE"/>
    <w:multiLevelType w:val="hybridMultilevel"/>
    <w:tmpl w:val="753A8D68"/>
    <w:lvl w:ilvl="0" w:tplc="494A1964">
      <w:numFmt w:val="bullet"/>
      <w:lvlText w:val="-"/>
      <w:lvlJc w:val="left"/>
      <w:pPr>
        <w:ind w:left="720" w:hanging="360"/>
      </w:pPr>
      <w:rPr>
        <w:rFonts w:ascii="Courier New" w:eastAsia="Times New Roman"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996BB"/>
    <w:multiLevelType w:val="multilevel"/>
    <w:tmpl w:val="D88AE19E"/>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C5"/>
    <w:rsid w:val="00025299"/>
    <w:rsid w:val="00027BC9"/>
    <w:rsid w:val="000340BA"/>
    <w:rsid w:val="00035FFC"/>
    <w:rsid w:val="00041715"/>
    <w:rsid w:val="0005656F"/>
    <w:rsid w:val="000918A0"/>
    <w:rsid w:val="000B1734"/>
    <w:rsid w:val="000D326F"/>
    <w:rsid w:val="000D68AC"/>
    <w:rsid w:val="00122ACD"/>
    <w:rsid w:val="0012624E"/>
    <w:rsid w:val="00132F0E"/>
    <w:rsid w:val="00152363"/>
    <w:rsid w:val="0015386D"/>
    <w:rsid w:val="001601A3"/>
    <w:rsid w:val="00163008"/>
    <w:rsid w:val="00163F24"/>
    <w:rsid w:val="001749CA"/>
    <w:rsid w:val="00184B6A"/>
    <w:rsid w:val="001C3F80"/>
    <w:rsid w:val="001D44F4"/>
    <w:rsid w:val="001E1DA9"/>
    <w:rsid w:val="001F259F"/>
    <w:rsid w:val="002018B4"/>
    <w:rsid w:val="00201F68"/>
    <w:rsid w:val="002045E0"/>
    <w:rsid w:val="002133CE"/>
    <w:rsid w:val="00216C46"/>
    <w:rsid w:val="00220867"/>
    <w:rsid w:val="00240336"/>
    <w:rsid w:val="002621AE"/>
    <w:rsid w:val="00264B0C"/>
    <w:rsid w:val="00276F4B"/>
    <w:rsid w:val="002A1EC2"/>
    <w:rsid w:val="002A4EF5"/>
    <w:rsid w:val="002C2533"/>
    <w:rsid w:val="002D020C"/>
    <w:rsid w:val="002D12FD"/>
    <w:rsid w:val="002D7EC2"/>
    <w:rsid w:val="002E08F5"/>
    <w:rsid w:val="002F4E8F"/>
    <w:rsid w:val="002F5CDD"/>
    <w:rsid w:val="00300A09"/>
    <w:rsid w:val="00312CD3"/>
    <w:rsid w:val="003211FF"/>
    <w:rsid w:val="003224F1"/>
    <w:rsid w:val="00324A08"/>
    <w:rsid w:val="003373ED"/>
    <w:rsid w:val="00340EA9"/>
    <w:rsid w:val="003504DA"/>
    <w:rsid w:val="00354E0F"/>
    <w:rsid w:val="00364A39"/>
    <w:rsid w:val="00373D66"/>
    <w:rsid w:val="003752DC"/>
    <w:rsid w:val="003905BF"/>
    <w:rsid w:val="00392F6C"/>
    <w:rsid w:val="0039373F"/>
    <w:rsid w:val="003A1A2C"/>
    <w:rsid w:val="003A3D3C"/>
    <w:rsid w:val="003A5DF2"/>
    <w:rsid w:val="003A6044"/>
    <w:rsid w:val="003C258D"/>
    <w:rsid w:val="003C34AE"/>
    <w:rsid w:val="003D1DCA"/>
    <w:rsid w:val="003D51BE"/>
    <w:rsid w:val="004011C9"/>
    <w:rsid w:val="004233EE"/>
    <w:rsid w:val="00425E3F"/>
    <w:rsid w:val="00436544"/>
    <w:rsid w:val="00456B89"/>
    <w:rsid w:val="00462E24"/>
    <w:rsid w:val="00472BB2"/>
    <w:rsid w:val="0047482D"/>
    <w:rsid w:val="00484E03"/>
    <w:rsid w:val="00495AF8"/>
    <w:rsid w:val="004C290B"/>
    <w:rsid w:val="004E6AA9"/>
    <w:rsid w:val="004F1C28"/>
    <w:rsid w:val="004F6236"/>
    <w:rsid w:val="0050458A"/>
    <w:rsid w:val="005207D7"/>
    <w:rsid w:val="00525FA0"/>
    <w:rsid w:val="00532768"/>
    <w:rsid w:val="00540C1C"/>
    <w:rsid w:val="00546232"/>
    <w:rsid w:val="005472DC"/>
    <w:rsid w:val="005510E4"/>
    <w:rsid w:val="00561271"/>
    <w:rsid w:val="00563871"/>
    <w:rsid w:val="00564DD7"/>
    <w:rsid w:val="005723F2"/>
    <w:rsid w:val="00583D79"/>
    <w:rsid w:val="005A1519"/>
    <w:rsid w:val="005C4E80"/>
    <w:rsid w:val="005E0E88"/>
    <w:rsid w:val="00626173"/>
    <w:rsid w:val="006447DA"/>
    <w:rsid w:val="00646AA7"/>
    <w:rsid w:val="00653771"/>
    <w:rsid w:val="00653FC5"/>
    <w:rsid w:val="0065777C"/>
    <w:rsid w:val="00662C2B"/>
    <w:rsid w:val="00665E34"/>
    <w:rsid w:val="00666085"/>
    <w:rsid w:val="00680524"/>
    <w:rsid w:val="00681EF8"/>
    <w:rsid w:val="006832C2"/>
    <w:rsid w:val="00683340"/>
    <w:rsid w:val="0068564B"/>
    <w:rsid w:val="00694910"/>
    <w:rsid w:val="00695F44"/>
    <w:rsid w:val="0069692F"/>
    <w:rsid w:val="006A2C4D"/>
    <w:rsid w:val="006A4727"/>
    <w:rsid w:val="006A6636"/>
    <w:rsid w:val="006D3A73"/>
    <w:rsid w:val="006D4571"/>
    <w:rsid w:val="006F0645"/>
    <w:rsid w:val="006F47F7"/>
    <w:rsid w:val="006F5C81"/>
    <w:rsid w:val="0070381A"/>
    <w:rsid w:val="00721A6E"/>
    <w:rsid w:val="00722446"/>
    <w:rsid w:val="0073454F"/>
    <w:rsid w:val="00751210"/>
    <w:rsid w:val="00756202"/>
    <w:rsid w:val="0075703E"/>
    <w:rsid w:val="00761BBC"/>
    <w:rsid w:val="00767A86"/>
    <w:rsid w:val="00771161"/>
    <w:rsid w:val="00771DB0"/>
    <w:rsid w:val="0077422F"/>
    <w:rsid w:val="00790119"/>
    <w:rsid w:val="007A7EE6"/>
    <w:rsid w:val="007B176A"/>
    <w:rsid w:val="007B6413"/>
    <w:rsid w:val="007D0C26"/>
    <w:rsid w:val="007E1CF4"/>
    <w:rsid w:val="007E2763"/>
    <w:rsid w:val="007E3F3C"/>
    <w:rsid w:val="00802866"/>
    <w:rsid w:val="0081272F"/>
    <w:rsid w:val="008319FD"/>
    <w:rsid w:val="00836E38"/>
    <w:rsid w:val="00850CC7"/>
    <w:rsid w:val="00851536"/>
    <w:rsid w:val="00855787"/>
    <w:rsid w:val="008637B8"/>
    <w:rsid w:val="00863C1E"/>
    <w:rsid w:val="008653C8"/>
    <w:rsid w:val="008842AA"/>
    <w:rsid w:val="008850FE"/>
    <w:rsid w:val="00894C3F"/>
    <w:rsid w:val="008B28AC"/>
    <w:rsid w:val="008C17A2"/>
    <w:rsid w:val="008D6588"/>
    <w:rsid w:val="008D7B81"/>
    <w:rsid w:val="00903755"/>
    <w:rsid w:val="009108A4"/>
    <w:rsid w:val="00920541"/>
    <w:rsid w:val="009313CA"/>
    <w:rsid w:val="00942499"/>
    <w:rsid w:val="00954967"/>
    <w:rsid w:val="009925C4"/>
    <w:rsid w:val="009C2543"/>
    <w:rsid w:val="009C353C"/>
    <w:rsid w:val="009E652F"/>
    <w:rsid w:val="009F0B04"/>
    <w:rsid w:val="00A20F95"/>
    <w:rsid w:val="00A31767"/>
    <w:rsid w:val="00A448C6"/>
    <w:rsid w:val="00A52668"/>
    <w:rsid w:val="00A61A79"/>
    <w:rsid w:val="00A75909"/>
    <w:rsid w:val="00A95E4D"/>
    <w:rsid w:val="00A96A18"/>
    <w:rsid w:val="00AA4FE8"/>
    <w:rsid w:val="00AB7805"/>
    <w:rsid w:val="00AC1C64"/>
    <w:rsid w:val="00AD28B8"/>
    <w:rsid w:val="00AD7DFC"/>
    <w:rsid w:val="00AE7CCD"/>
    <w:rsid w:val="00AF458B"/>
    <w:rsid w:val="00B00347"/>
    <w:rsid w:val="00B409FE"/>
    <w:rsid w:val="00B47BB8"/>
    <w:rsid w:val="00B54A4F"/>
    <w:rsid w:val="00B707C7"/>
    <w:rsid w:val="00B81BEF"/>
    <w:rsid w:val="00B85829"/>
    <w:rsid w:val="00BA0163"/>
    <w:rsid w:val="00BB0B90"/>
    <w:rsid w:val="00BB7A80"/>
    <w:rsid w:val="00BD08DF"/>
    <w:rsid w:val="00BD4653"/>
    <w:rsid w:val="00BD55C9"/>
    <w:rsid w:val="00C00DBE"/>
    <w:rsid w:val="00C234EF"/>
    <w:rsid w:val="00C32581"/>
    <w:rsid w:val="00C41A99"/>
    <w:rsid w:val="00C54ED5"/>
    <w:rsid w:val="00C74E1B"/>
    <w:rsid w:val="00C810D5"/>
    <w:rsid w:val="00C96A35"/>
    <w:rsid w:val="00C97876"/>
    <w:rsid w:val="00CA13BC"/>
    <w:rsid w:val="00CA45A0"/>
    <w:rsid w:val="00CB4FA4"/>
    <w:rsid w:val="00CB72C7"/>
    <w:rsid w:val="00CC11CF"/>
    <w:rsid w:val="00CD60A6"/>
    <w:rsid w:val="00D01ACD"/>
    <w:rsid w:val="00D11131"/>
    <w:rsid w:val="00D14E52"/>
    <w:rsid w:val="00D15675"/>
    <w:rsid w:val="00D1682B"/>
    <w:rsid w:val="00D26CF8"/>
    <w:rsid w:val="00D338CA"/>
    <w:rsid w:val="00D34220"/>
    <w:rsid w:val="00D34412"/>
    <w:rsid w:val="00D41D82"/>
    <w:rsid w:val="00D41E00"/>
    <w:rsid w:val="00D425DA"/>
    <w:rsid w:val="00D64543"/>
    <w:rsid w:val="00D70B8E"/>
    <w:rsid w:val="00D739E5"/>
    <w:rsid w:val="00D7486B"/>
    <w:rsid w:val="00D81E61"/>
    <w:rsid w:val="00D91CD6"/>
    <w:rsid w:val="00D95D32"/>
    <w:rsid w:val="00DA4A15"/>
    <w:rsid w:val="00DC7F1C"/>
    <w:rsid w:val="00DD517C"/>
    <w:rsid w:val="00DD7694"/>
    <w:rsid w:val="00DD7C06"/>
    <w:rsid w:val="00DE6EC3"/>
    <w:rsid w:val="00DF3995"/>
    <w:rsid w:val="00E0772F"/>
    <w:rsid w:val="00E1412E"/>
    <w:rsid w:val="00E17317"/>
    <w:rsid w:val="00E17D80"/>
    <w:rsid w:val="00E312D9"/>
    <w:rsid w:val="00E37F4D"/>
    <w:rsid w:val="00E463FE"/>
    <w:rsid w:val="00E60F77"/>
    <w:rsid w:val="00E633C8"/>
    <w:rsid w:val="00E63AA8"/>
    <w:rsid w:val="00E674DB"/>
    <w:rsid w:val="00E71DD6"/>
    <w:rsid w:val="00E723A0"/>
    <w:rsid w:val="00E76009"/>
    <w:rsid w:val="00E90BFC"/>
    <w:rsid w:val="00E95005"/>
    <w:rsid w:val="00E970F7"/>
    <w:rsid w:val="00EA02BD"/>
    <w:rsid w:val="00EA0831"/>
    <w:rsid w:val="00EA28B1"/>
    <w:rsid w:val="00EB04D9"/>
    <w:rsid w:val="00EB4E65"/>
    <w:rsid w:val="00EB565C"/>
    <w:rsid w:val="00EB5789"/>
    <w:rsid w:val="00EC0813"/>
    <w:rsid w:val="00ED2E77"/>
    <w:rsid w:val="00ED796B"/>
    <w:rsid w:val="00EE101A"/>
    <w:rsid w:val="00EF2ACD"/>
    <w:rsid w:val="00F0288D"/>
    <w:rsid w:val="00F21743"/>
    <w:rsid w:val="00F31F97"/>
    <w:rsid w:val="00F4248F"/>
    <w:rsid w:val="00F459A1"/>
    <w:rsid w:val="00F55191"/>
    <w:rsid w:val="00F67225"/>
    <w:rsid w:val="00F75FCE"/>
    <w:rsid w:val="00F86525"/>
    <w:rsid w:val="00FA43EE"/>
    <w:rsid w:val="00FB38F2"/>
    <w:rsid w:val="00FD2CDC"/>
    <w:rsid w:val="00FE1D31"/>
    <w:rsid w:val="00FE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4C6C"/>
  <w15:chartTrackingRefBased/>
  <w15:docId w15:val="{FC73BEA0-D8A3-4F6A-9859-64786D4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C5"/>
    <w:pPr>
      <w:widowControl w:val="0"/>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2D02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472DC"/>
    <w:pPr>
      <w:widowControl/>
      <w:spacing w:before="100" w:beforeAutospacing="1" w:after="100" w:afterAutospacing="1"/>
      <w:outlineLvl w:val="3"/>
    </w:pPr>
    <w:rPr>
      <w:rFonts w:ascii="Times New Roman" w:hAnsi="Times New Roman" w:cs="Times New Roman"/>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C5"/>
    <w:pPr>
      <w:widowControl/>
      <w:tabs>
        <w:tab w:val="center" w:pos="4680"/>
        <w:tab w:val="right" w:pos="9360"/>
      </w:tabs>
    </w:pPr>
    <w:rPr>
      <w:rFonts w:ascii="Times New Roman" w:hAnsi="Times New Roman" w:cs="Times New Roman"/>
      <w:color w:val="auto"/>
      <w:sz w:val="28"/>
      <w:szCs w:val="28"/>
      <w:lang w:val="en-US" w:eastAsia="en-US"/>
    </w:rPr>
  </w:style>
  <w:style w:type="character" w:customStyle="1" w:styleId="HeaderChar">
    <w:name w:val="Header Char"/>
    <w:basedOn w:val="DefaultParagraphFont"/>
    <w:link w:val="Header"/>
    <w:uiPriority w:val="99"/>
    <w:rsid w:val="00653FC5"/>
    <w:rPr>
      <w:rFonts w:eastAsia="Times New Roman"/>
    </w:rPr>
  </w:style>
  <w:style w:type="paragraph" w:styleId="ListParagraph">
    <w:name w:val="List Paragraph"/>
    <w:basedOn w:val="Normal"/>
    <w:qFormat/>
    <w:rsid w:val="00495AF8"/>
    <w:pPr>
      <w:ind w:left="720"/>
      <w:contextualSpacing/>
    </w:pPr>
  </w:style>
  <w:style w:type="table" w:styleId="TableGrid">
    <w:name w:val="Table Grid"/>
    <w:basedOn w:val="TableNormal"/>
    <w:uiPriority w:val="39"/>
    <w:rsid w:val="0049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233EE"/>
    <w:rPr>
      <w:rFonts w:eastAsia="Times New Roman"/>
    </w:rPr>
  </w:style>
  <w:style w:type="paragraph" w:styleId="NormalWeb">
    <w:name w:val="Normal (Web)"/>
    <w:basedOn w:val="Normal"/>
    <w:link w:val="NormalWebChar"/>
    <w:unhideWhenUsed/>
    <w:rsid w:val="00201F6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201F68"/>
    <w:rPr>
      <w:b/>
      <w:bCs/>
    </w:rPr>
  </w:style>
  <w:style w:type="paragraph" w:styleId="BalloonText">
    <w:name w:val="Balloon Text"/>
    <w:basedOn w:val="Normal"/>
    <w:link w:val="BalloonTextChar"/>
    <w:uiPriority w:val="99"/>
    <w:semiHidden/>
    <w:unhideWhenUsed/>
    <w:rsid w:val="00201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8"/>
    <w:rPr>
      <w:rFonts w:ascii="Segoe UI" w:eastAsia="Times New Roman" w:hAnsi="Segoe UI" w:cs="Segoe UI"/>
      <w:color w:val="000000"/>
      <w:sz w:val="18"/>
      <w:szCs w:val="18"/>
      <w:lang w:val="vi-VN" w:eastAsia="vi-VN"/>
    </w:rPr>
  </w:style>
  <w:style w:type="character" w:customStyle="1" w:styleId="NormalWebChar">
    <w:name w:val="Normal (Web) Char"/>
    <w:link w:val="NormalWeb"/>
    <w:uiPriority w:val="99"/>
    <w:locked/>
    <w:rsid w:val="002F5CDD"/>
    <w:rPr>
      <w:rFonts w:eastAsia="Times New Roman"/>
      <w:sz w:val="24"/>
      <w:szCs w:val="24"/>
    </w:rPr>
  </w:style>
  <w:style w:type="character" w:customStyle="1" w:styleId="Heading4Char">
    <w:name w:val="Heading 4 Char"/>
    <w:basedOn w:val="DefaultParagraphFont"/>
    <w:link w:val="Heading4"/>
    <w:uiPriority w:val="9"/>
    <w:rsid w:val="005472DC"/>
    <w:rPr>
      <w:rFonts w:eastAsia="Times New Roman"/>
      <w:b/>
      <w:bCs/>
      <w:sz w:val="24"/>
      <w:szCs w:val="24"/>
    </w:rPr>
  </w:style>
  <w:style w:type="character" w:customStyle="1" w:styleId="Heading2Char">
    <w:name w:val="Heading 2 Char"/>
    <w:basedOn w:val="DefaultParagraphFont"/>
    <w:link w:val="Heading2"/>
    <w:uiPriority w:val="9"/>
    <w:semiHidden/>
    <w:rsid w:val="002D020C"/>
    <w:rPr>
      <w:rFonts w:asciiTheme="majorHAnsi" w:eastAsiaTheme="majorEastAsia" w:hAnsiTheme="majorHAnsi" w:cstheme="majorBidi"/>
      <w:color w:val="2E74B5" w:themeColor="accent1" w:themeShade="B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12351">
      <w:bodyDiv w:val="1"/>
      <w:marLeft w:val="0"/>
      <w:marRight w:val="0"/>
      <w:marTop w:val="0"/>
      <w:marBottom w:val="0"/>
      <w:divBdr>
        <w:top w:val="none" w:sz="0" w:space="0" w:color="auto"/>
        <w:left w:val="none" w:sz="0" w:space="0" w:color="auto"/>
        <w:bottom w:val="none" w:sz="0" w:space="0" w:color="auto"/>
        <w:right w:val="none" w:sz="0" w:space="0" w:color="auto"/>
      </w:divBdr>
    </w:div>
    <w:div w:id="1120416576">
      <w:bodyDiv w:val="1"/>
      <w:marLeft w:val="0"/>
      <w:marRight w:val="0"/>
      <w:marTop w:val="0"/>
      <w:marBottom w:val="0"/>
      <w:divBdr>
        <w:top w:val="none" w:sz="0" w:space="0" w:color="auto"/>
        <w:left w:val="none" w:sz="0" w:space="0" w:color="auto"/>
        <w:bottom w:val="none" w:sz="0" w:space="0" w:color="auto"/>
        <w:right w:val="none" w:sz="0" w:space="0" w:color="auto"/>
      </w:divBdr>
    </w:div>
    <w:div w:id="1536653387">
      <w:bodyDiv w:val="1"/>
      <w:marLeft w:val="0"/>
      <w:marRight w:val="0"/>
      <w:marTop w:val="0"/>
      <w:marBottom w:val="0"/>
      <w:divBdr>
        <w:top w:val="none" w:sz="0" w:space="0" w:color="auto"/>
        <w:left w:val="none" w:sz="0" w:space="0" w:color="auto"/>
        <w:bottom w:val="none" w:sz="0" w:space="0" w:color="auto"/>
        <w:right w:val="none" w:sz="0" w:space="0" w:color="auto"/>
      </w:divBdr>
    </w:div>
    <w:div w:id="1550654645">
      <w:bodyDiv w:val="1"/>
      <w:marLeft w:val="0"/>
      <w:marRight w:val="0"/>
      <w:marTop w:val="0"/>
      <w:marBottom w:val="0"/>
      <w:divBdr>
        <w:top w:val="none" w:sz="0" w:space="0" w:color="auto"/>
        <w:left w:val="none" w:sz="0" w:space="0" w:color="auto"/>
        <w:bottom w:val="none" w:sz="0" w:space="0" w:color="auto"/>
        <w:right w:val="none" w:sz="0" w:space="0" w:color="auto"/>
      </w:divBdr>
    </w:div>
    <w:div w:id="20195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e-thao-y-te/thong-tu-86-2020-tt-btc-che-do-dinh-duong-dac-thu-doi-voi-huan-luyen-vien-the-thao-thanh-tich-cao-45659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2025-08-18T01:36:00Z</cp:lastPrinted>
  <dcterms:created xsi:type="dcterms:W3CDTF">2026-01-08T10:25:00Z</dcterms:created>
  <dcterms:modified xsi:type="dcterms:W3CDTF">2026-01-08T10:25:00Z</dcterms:modified>
</cp:coreProperties>
</file>