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595" w:rsidRPr="008113FC" w:rsidRDefault="00AD7595" w:rsidP="008113FC">
      <w:pPr>
        <w:tabs>
          <w:tab w:val="left" w:pos="540"/>
        </w:tabs>
        <w:spacing w:before="120" w:after="120"/>
        <w:ind w:firstLine="629"/>
        <w:jc w:val="center"/>
        <w:rPr>
          <w:b/>
          <w:color w:val="000000"/>
          <w:spacing w:val="-6"/>
          <w:sz w:val="32"/>
          <w:szCs w:val="32"/>
        </w:rPr>
      </w:pPr>
      <w:r w:rsidRPr="008113FC">
        <w:rPr>
          <w:b/>
          <w:color w:val="000000"/>
          <w:spacing w:val="-6"/>
          <w:sz w:val="32"/>
          <w:szCs w:val="32"/>
        </w:rPr>
        <w:t>Tham luận: Tác động của Nghị quyết 05/2022/NQ-HĐND đối với sự phát triển của Thể thao Thành phố.</w:t>
      </w:r>
    </w:p>
    <w:p w:rsidR="008113FC" w:rsidRDefault="008113FC" w:rsidP="00D30354">
      <w:pPr>
        <w:tabs>
          <w:tab w:val="left" w:pos="540"/>
        </w:tabs>
        <w:spacing w:before="120" w:after="120"/>
        <w:ind w:firstLine="629"/>
        <w:rPr>
          <w:color w:val="000000"/>
          <w:spacing w:val="-6"/>
        </w:rPr>
      </w:pPr>
    </w:p>
    <w:p w:rsidR="00AD7595" w:rsidRDefault="00AD7595" w:rsidP="00D30354">
      <w:pPr>
        <w:tabs>
          <w:tab w:val="left" w:pos="540"/>
        </w:tabs>
        <w:spacing w:before="120" w:after="120"/>
        <w:ind w:firstLine="629"/>
      </w:pPr>
      <w:r>
        <w:rPr>
          <w:color w:val="000000"/>
          <w:spacing w:val="-6"/>
        </w:rPr>
        <w:t xml:space="preserve">Trước khi Nghị quyết </w:t>
      </w:r>
      <w:r w:rsidR="00CA465B">
        <w:rPr>
          <w:color w:val="000000"/>
          <w:spacing w:val="-6"/>
        </w:rPr>
        <w:t>s</w:t>
      </w:r>
      <w:r>
        <w:rPr>
          <w:color w:val="000000"/>
          <w:spacing w:val="-6"/>
        </w:rPr>
        <w:t xml:space="preserve">ố 05/2022/NQ-HĐND ngày 07 tháng 4 năm 2022 của Hội đồng nhân dân Thành phố Hồ Chí Minh về một số chính </w:t>
      </w:r>
      <w:r w:rsidR="00CA465B">
        <w:rPr>
          <w:color w:val="000000"/>
          <w:spacing w:val="-6"/>
        </w:rPr>
        <w:t xml:space="preserve">sách đặc thù đối với huấn luyện viên, vận động viên Thành phố Hồ Chí Minh được ban hành và đưa vào thực hiện thì chế độ của ngành Thể thao Thành phố được thực hiện theo </w:t>
      </w:r>
      <w:r w:rsidR="00CA465B">
        <w:rPr>
          <w:color w:val="000000"/>
          <w:spacing w:val="-6"/>
        </w:rPr>
        <w:t xml:space="preserve">Quyết định số </w:t>
      </w:r>
      <w:r w:rsidR="00CA465B" w:rsidRPr="00BE5303">
        <w:t xml:space="preserve">74/2009/QĐ-UBND ngày 05 tháng 10 năm 2009 </w:t>
      </w:r>
      <w:r w:rsidR="00D30354">
        <w:t xml:space="preserve">và Quyết định số 136/2007/QĐ-UBND ngày 10 tháng 12 năm 2007 </w:t>
      </w:r>
      <w:r w:rsidR="00D30354" w:rsidRPr="00BE5303">
        <w:t>của Ủy ban nhân dân Thành phố</w:t>
      </w:r>
      <w:r w:rsidR="00D30354">
        <w:t xml:space="preserve"> về một số chế độ đối với huấn luyện viên, vận động viên, trọng tài và lực lượng phục vụ ngành thể thao thành phố</w:t>
      </w:r>
      <w:r w:rsidR="00D30354">
        <w:t>.</w:t>
      </w:r>
    </w:p>
    <w:p w:rsidR="00D30354" w:rsidRDefault="00D30354" w:rsidP="00D30354">
      <w:pPr>
        <w:tabs>
          <w:tab w:val="left" w:pos="540"/>
        </w:tabs>
        <w:spacing w:before="120" w:after="120"/>
        <w:ind w:firstLine="629"/>
      </w:pPr>
      <w:r>
        <w:t>Đến năm 2018 Chính phủ ban hành Nghị định số 152/2018/NĐ-CP ngày 07 tháng 11 năm 2018 Quy định một số chế độ đối với huấn luyện viên, vận động viên thể thao trong thời gian tập trung tậ</w:t>
      </w:r>
      <w:r w:rsidR="008113FC">
        <w:t>p huấn, thi đấu. Theo đó mức chi</w:t>
      </w:r>
      <w:r>
        <w:t xml:space="preserve"> của </w:t>
      </w:r>
      <w:r w:rsidR="008113FC">
        <w:t xml:space="preserve">tất cả các </w:t>
      </w:r>
      <w:r>
        <w:t>chế độ cao hơ</w:t>
      </w:r>
      <w:r w:rsidR="008113FC">
        <w:t>n gấp 2 đến 3 lần so với mức chi</w:t>
      </w:r>
      <w:r>
        <w:t xml:space="preserve"> cùng loại được quy định trong Quyết định </w:t>
      </w:r>
      <w:r w:rsidRPr="00BE5303">
        <w:t>74/2009/QĐ-UBND</w:t>
      </w:r>
      <w:r>
        <w:t xml:space="preserve"> và </w:t>
      </w:r>
      <w:r>
        <w:t>136/2007/QĐ-UBND</w:t>
      </w:r>
      <w:r>
        <w:t>. Cụ thể như sau:</w:t>
      </w:r>
    </w:p>
    <w:tbl>
      <w:tblPr>
        <w:tblStyle w:val="TableGrid"/>
        <w:tblW w:w="9493" w:type="dxa"/>
        <w:tblLook w:val="04A0" w:firstRow="1" w:lastRow="0" w:firstColumn="1" w:lastColumn="0" w:noHBand="0" w:noVBand="1"/>
      </w:tblPr>
      <w:tblGrid>
        <w:gridCol w:w="562"/>
        <w:gridCol w:w="3402"/>
        <w:gridCol w:w="2835"/>
        <w:gridCol w:w="2694"/>
      </w:tblGrid>
      <w:tr w:rsidR="00D30354" w:rsidTr="008113FC">
        <w:tc>
          <w:tcPr>
            <w:tcW w:w="562" w:type="dxa"/>
          </w:tcPr>
          <w:p w:rsidR="00D30354" w:rsidRPr="008113FC" w:rsidRDefault="00D30354" w:rsidP="00D30354">
            <w:pPr>
              <w:tabs>
                <w:tab w:val="left" w:pos="540"/>
              </w:tabs>
              <w:spacing w:before="120" w:after="120"/>
              <w:jc w:val="center"/>
              <w:rPr>
                <w:b/>
              </w:rPr>
            </w:pPr>
            <w:r w:rsidRPr="008113FC">
              <w:rPr>
                <w:b/>
              </w:rPr>
              <w:t>Stt</w:t>
            </w:r>
          </w:p>
        </w:tc>
        <w:tc>
          <w:tcPr>
            <w:tcW w:w="3402" w:type="dxa"/>
          </w:tcPr>
          <w:p w:rsidR="00D30354" w:rsidRPr="008113FC" w:rsidRDefault="00D30354" w:rsidP="00D30354">
            <w:pPr>
              <w:tabs>
                <w:tab w:val="left" w:pos="540"/>
              </w:tabs>
              <w:spacing w:before="120" w:after="120"/>
              <w:jc w:val="center"/>
              <w:rPr>
                <w:b/>
              </w:rPr>
            </w:pPr>
            <w:r w:rsidRPr="008113FC">
              <w:rPr>
                <w:b/>
              </w:rPr>
              <w:t>Nội dung</w:t>
            </w:r>
          </w:p>
        </w:tc>
        <w:tc>
          <w:tcPr>
            <w:tcW w:w="2835" w:type="dxa"/>
          </w:tcPr>
          <w:p w:rsidR="00D30354" w:rsidRPr="008113FC" w:rsidRDefault="00D30354" w:rsidP="00D30354">
            <w:pPr>
              <w:tabs>
                <w:tab w:val="left" w:pos="540"/>
              </w:tabs>
              <w:spacing w:before="120" w:after="120"/>
              <w:jc w:val="center"/>
              <w:rPr>
                <w:b/>
              </w:rPr>
            </w:pPr>
            <w:r w:rsidRPr="008113FC">
              <w:rPr>
                <w:b/>
              </w:rPr>
              <w:t xml:space="preserve">Quyết định </w:t>
            </w:r>
            <w:r w:rsidRPr="008113FC">
              <w:rPr>
                <w:b/>
              </w:rPr>
              <w:t>136/2007/QĐ-UBND</w:t>
            </w:r>
          </w:p>
        </w:tc>
        <w:tc>
          <w:tcPr>
            <w:tcW w:w="2694" w:type="dxa"/>
          </w:tcPr>
          <w:p w:rsidR="00D30354" w:rsidRPr="008113FC" w:rsidRDefault="00D30354" w:rsidP="00D30354">
            <w:pPr>
              <w:tabs>
                <w:tab w:val="left" w:pos="540"/>
              </w:tabs>
              <w:spacing w:before="120" w:after="120"/>
              <w:jc w:val="center"/>
              <w:rPr>
                <w:b/>
              </w:rPr>
            </w:pPr>
            <w:r w:rsidRPr="008113FC">
              <w:rPr>
                <w:b/>
              </w:rPr>
              <w:t>Nghị định số 152/2018/NĐ-CP</w:t>
            </w:r>
          </w:p>
        </w:tc>
      </w:tr>
      <w:tr w:rsidR="00D30354" w:rsidTr="008113FC">
        <w:tc>
          <w:tcPr>
            <w:tcW w:w="562" w:type="dxa"/>
          </w:tcPr>
          <w:p w:rsidR="00D30354" w:rsidRDefault="008113FC" w:rsidP="008113FC">
            <w:pPr>
              <w:tabs>
                <w:tab w:val="left" w:pos="540"/>
              </w:tabs>
              <w:spacing w:before="120" w:after="120"/>
              <w:jc w:val="center"/>
            </w:pPr>
            <w:r>
              <w:t>1</w:t>
            </w:r>
          </w:p>
        </w:tc>
        <w:tc>
          <w:tcPr>
            <w:tcW w:w="3402" w:type="dxa"/>
          </w:tcPr>
          <w:p w:rsidR="00D30354" w:rsidRDefault="00D30354" w:rsidP="00D30354">
            <w:pPr>
              <w:tabs>
                <w:tab w:val="left" w:pos="540"/>
              </w:tabs>
              <w:spacing w:before="120" w:after="120"/>
            </w:pPr>
            <w:r>
              <w:t>Huy chương vàng Olympic</w:t>
            </w:r>
          </w:p>
        </w:tc>
        <w:tc>
          <w:tcPr>
            <w:tcW w:w="2835" w:type="dxa"/>
          </w:tcPr>
          <w:p w:rsidR="00D30354" w:rsidRDefault="00D30354" w:rsidP="008113FC">
            <w:pPr>
              <w:tabs>
                <w:tab w:val="left" w:pos="540"/>
              </w:tabs>
              <w:spacing w:before="120" w:after="120"/>
              <w:jc w:val="center"/>
            </w:pPr>
            <w:r>
              <w:t>80.000.000đ</w:t>
            </w:r>
          </w:p>
        </w:tc>
        <w:tc>
          <w:tcPr>
            <w:tcW w:w="2694" w:type="dxa"/>
          </w:tcPr>
          <w:p w:rsidR="00D30354" w:rsidRDefault="00D30354" w:rsidP="008113FC">
            <w:pPr>
              <w:tabs>
                <w:tab w:val="left" w:pos="540"/>
              </w:tabs>
              <w:spacing w:before="120" w:after="120"/>
              <w:jc w:val="center"/>
            </w:pPr>
            <w:r>
              <w:t>350.000.000đ</w:t>
            </w:r>
          </w:p>
        </w:tc>
      </w:tr>
      <w:tr w:rsidR="00D30354" w:rsidTr="008113FC">
        <w:tc>
          <w:tcPr>
            <w:tcW w:w="562" w:type="dxa"/>
          </w:tcPr>
          <w:p w:rsidR="00D30354" w:rsidRDefault="008113FC" w:rsidP="008113FC">
            <w:pPr>
              <w:tabs>
                <w:tab w:val="left" w:pos="540"/>
              </w:tabs>
              <w:spacing w:before="120" w:after="120"/>
              <w:jc w:val="center"/>
            </w:pPr>
            <w:r>
              <w:t>2</w:t>
            </w:r>
          </w:p>
        </w:tc>
        <w:tc>
          <w:tcPr>
            <w:tcW w:w="3402" w:type="dxa"/>
          </w:tcPr>
          <w:p w:rsidR="00D30354" w:rsidRDefault="008113FC" w:rsidP="00D30354">
            <w:pPr>
              <w:tabs>
                <w:tab w:val="left" w:pos="540"/>
              </w:tabs>
              <w:spacing w:before="120" w:after="120"/>
            </w:pPr>
            <w:r>
              <w:t>HCV Vô địch thế giới</w:t>
            </w:r>
          </w:p>
        </w:tc>
        <w:tc>
          <w:tcPr>
            <w:tcW w:w="2835" w:type="dxa"/>
          </w:tcPr>
          <w:p w:rsidR="00D30354" w:rsidRDefault="008113FC" w:rsidP="008113FC">
            <w:pPr>
              <w:tabs>
                <w:tab w:val="left" w:pos="540"/>
              </w:tabs>
              <w:spacing w:before="120" w:after="120"/>
              <w:jc w:val="center"/>
            </w:pPr>
            <w:r>
              <w:t>50.000.000đ</w:t>
            </w:r>
          </w:p>
        </w:tc>
        <w:tc>
          <w:tcPr>
            <w:tcW w:w="2694" w:type="dxa"/>
          </w:tcPr>
          <w:p w:rsidR="00D30354" w:rsidRDefault="008113FC" w:rsidP="008113FC">
            <w:pPr>
              <w:tabs>
                <w:tab w:val="left" w:pos="540"/>
              </w:tabs>
              <w:spacing w:before="120" w:after="120"/>
              <w:jc w:val="center"/>
            </w:pPr>
            <w:r>
              <w:t>175.000.000đ</w:t>
            </w:r>
          </w:p>
        </w:tc>
      </w:tr>
      <w:tr w:rsidR="00D30354" w:rsidTr="008113FC">
        <w:tc>
          <w:tcPr>
            <w:tcW w:w="562" w:type="dxa"/>
          </w:tcPr>
          <w:p w:rsidR="00D30354" w:rsidRDefault="008113FC" w:rsidP="008113FC">
            <w:pPr>
              <w:tabs>
                <w:tab w:val="left" w:pos="540"/>
              </w:tabs>
              <w:spacing w:before="120" w:after="120"/>
              <w:jc w:val="center"/>
            </w:pPr>
            <w:r>
              <w:t>3</w:t>
            </w:r>
          </w:p>
        </w:tc>
        <w:tc>
          <w:tcPr>
            <w:tcW w:w="3402" w:type="dxa"/>
          </w:tcPr>
          <w:p w:rsidR="00D30354" w:rsidRDefault="008113FC" w:rsidP="00D30354">
            <w:pPr>
              <w:tabs>
                <w:tab w:val="left" w:pos="540"/>
              </w:tabs>
              <w:spacing w:before="120" w:after="120"/>
            </w:pPr>
            <w:r>
              <w:t>HCV SEA Games</w:t>
            </w:r>
          </w:p>
        </w:tc>
        <w:tc>
          <w:tcPr>
            <w:tcW w:w="2835" w:type="dxa"/>
          </w:tcPr>
          <w:p w:rsidR="00D30354" w:rsidRDefault="008113FC" w:rsidP="008113FC">
            <w:pPr>
              <w:tabs>
                <w:tab w:val="left" w:pos="540"/>
              </w:tabs>
              <w:spacing w:before="120" w:after="120"/>
              <w:jc w:val="center"/>
            </w:pPr>
            <w:r>
              <w:t>25.000.000đ</w:t>
            </w:r>
          </w:p>
        </w:tc>
        <w:tc>
          <w:tcPr>
            <w:tcW w:w="2694" w:type="dxa"/>
          </w:tcPr>
          <w:p w:rsidR="00D30354" w:rsidRDefault="008113FC" w:rsidP="008113FC">
            <w:pPr>
              <w:tabs>
                <w:tab w:val="left" w:pos="540"/>
              </w:tabs>
              <w:spacing w:before="120" w:after="120"/>
              <w:jc w:val="center"/>
            </w:pPr>
            <w:r>
              <w:t>40.000.000đ</w:t>
            </w:r>
          </w:p>
        </w:tc>
      </w:tr>
      <w:tr w:rsidR="00D30354" w:rsidTr="008113FC">
        <w:tc>
          <w:tcPr>
            <w:tcW w:w="562" w:type="dxa"/>
          </w:tcPr>
          <w:p w:rsidR="00D30354" w:rsidRDefault="008113FC" w:rsidP="008113FC">
            <w:pPr>
              <w:tabs>
                <w:tab w:val="left" w:pos="540"/>
              </w:tabs>
              <w:spacing w:before="120" w:after="120"/>
              <w:jc w:val="center"/>
            </w:pPr>
            <w:r>
              <w:t>4</w:t>
            </w:r>
          </w:p>
        </w:tc>
        <w:tc>
          <w:tcPr>
            <w:tcW w:w="3402" w:type="dxa"/>
          </w:tcPr>
          <w:p w:rsidR="00D30354" w:rsidRDefault="008113FC" w:rsidP="00D30354">
            <w:pPr>
              <w:tabs>
                <w:tab w:val="left" w:pos="540"/>
              </w:tabs>
              <w:spacing w:before="120" w:after="120"/>
            </w:pPr>
            <w:r>
              <w:t>Chế độ dinh dưỡng thường xuyên</w:t>
            </w:r>
          </w:p>
        </w:tc>
        <w:tc>
          <w:tcPr>
            <w:tcW w:w="2835" w:type="dxa"/>
          </w:tcPr>
          <w:p w:rsidR="00D30354" w:rsidRDefault="008113FC" w:rsidP="008113FC">
            <w:pPr>
              <w:tabs>
                <w:tab w:val="left" w:pos="540"/>
              </w:tabs>
              <w:spacing w:before="120" w:after="120"/>
              <w:jc w:val="center"/>
            </w:pPr>
            <w:r>
              <w:t>90.000đ</w:t>
            </w:r>
          </w:p>
        </w:tc>
        <w:tc>
          <w:tcPr>
            <w:tcW w:w="2694" w:type="dxa"/>
          </w:tcPr>
          <w:p w:rsidR="00D30354" w:rsidRDefault="008113FC" w:rsidP="008113FC">
            <w:pPr>
              <w:tabs>
                <w:tab w:val="left" w:pos="540"/>
              </w:tabs>
              <w:spacing w:before="120" w:after="120"/>
              <w:jc w:val="center"/>
            </w:pPr>
            <w:r>
              <w:t>180.000đ</w:t>
            </w:r>
          </w:p>
        </w:tc>
      </w:tr>
      <w:tr w:rsidR="008113FC" w:rsidTr="008113FC">
        <w:tc>
          <w:tcPr>
            <w:tcW w:w="562" w:type="dxa"/>
          </w:tcPr>
          <w:p w:rsidR="008113FC" w:rsidRDefault="008113FC" w:rsidP="008113FC">
            <w:pPr>
              <w:tabs>
                <w:tab w:val="left" w:pos="540"/>
              </w:tabs>
              <w:spacing w:before="120" w:after="120"/>
              <w:jc w:val="center"/>
            </w:pPr>
            <w:r>
              <w:t>5</w:t>
            </w:r>
          </w:p>
        </w:tc>
        <w:tc>
          <w:tcPr>
            <w:tcW w:w="3402" w:type="dxa"/>
          </w:tcPr>
          <w:p w:rsidR="008113FC" w:rsidRDefault="008113FC" w:rsidP="00D30354">
            <w:pPr>
              <w:tabs>
                <w:tab w:val="left" w:pos="540"/>
              </w:tabs>
              <w:spacing w:before="120" w:after="120"/>
            </w:pPr>
            <w:r>
              <w:t>…</w:t>
            </w:r>
          </w:p>
        </w:tc>
        <w:tc>
          <w:tcPr>
            <w:tcW w:w="2835" w:type="dxa"/>
          </w:tcPr>
          <w:p w:rsidR="008113FC" w:rsidRDefault="008113FC" w:rsidP="008113FC">
            <w:pPr>
              <w:tabs>
                <w:tab w:val="left" w:pos="540"/>
              </w:tabs>
              <w:spacing w:before="120" w:after="120"/>
              <w:jc w:val="center"/>
            </w:pPr>
          </w:p>
        </w:tc>
        <w:tc>
          <w:tcPr>
            <w:tcW w:w="2694" w:type="dxa"/>
          </w:tcPr>
          <w:p w:rsidR="008113FC" w:rsidRDefault="008113FC" w:rsidP="008113FC">
            <w:pPr>
              <w:tabs>
                <w:tab w:val="left" w:pos="540"/>
              </w:tabs>
              <w:spacing w:before="120" w:after="120"/>
              <w:jc w:val="center"/>
            </w:pPr>
          </w:p>
        </w:tc>
      </w:tr>
    </w:tbl>
    <w:p w:rsidR="00D30354" w:rsidRDefault="008113FC" w:rsidP="00D30354">
      <w:pPr>
        <w:tabs>
          <w:tab w:val="left" w:pos="540"/>
        </w:tabs>
        <w:spacing w:before="120" w:after="120"/>
        <w:ind w:firstLine="629"/>
      </w:pPr>
      <w:r>
        <w:t>Bên cạnh đó tiền thưởng huy chương cho các giải quốc gia từ hệ thống giải vô địch cho đến năng khiếu các nhóm tuồi đều thấp hơn rất nhiều so với mặt bằng chung của các tỉnh thành trong cả nước đặc biệt thấp hơn gấp 3 lần so với Hà Nội (đối với huy chương vàng Giải Vô địch quốc gia, Hà Nội thưởng 15.000.000đ, Thành phố thưởng 5.000.000đ).</w:t>
      </w:r>
    </w:p>
    <w:p w:rsidR="008113FC" w:rsidRDefault="008113FC" w:rsidP="00D30354">
      <w:pPr>
        <w:tabs>
          <w:tab w:val="left" w:pos="540"/>
        </w:tabs>
        <w:spacing w:before="120" w:after="120"/>
        <w:ind w:firstLine="629"/>
      </w:pPr>
      <w:r>
        <w:t>Chính vì điều đó trong một khoảng thời gian thể thao Thành phố đã xảy ra tình trạng chảy máu chất xám ở một số môn thể thao trọng điểm</w:t>
      </w:r>
      <w:r w:rsidR="00BA1675">
        <w:t xml:space="preserve"> như Bóng đá, Bơi, Điền kinh, Boxing…</w:t>
      </w:r>
      <w:r>
        <w:t xml:space="preserve"> Tâm lý của lực lượng huấn luyện viên, vận động viên </w:t>
      </w:r>
      <w:r w:rsidR="00BA1675">
        <w:t>không ổn định, bất an.</w:t>
      </w:r>
    </w:p>
    <w:p w:rsidR="008113FC" w:rsidRDefault="00BA1675" w:rsidP="00BA1675">
      <w:pPr>
        <w:tabs>
          <w:tab w:val="left" w:pos="540"/>
        </w:tabs>
        <w:spacing w:before="120" w:after="120"/>
        <w:ind w:firstLine="629"/>
        <w:rPr>
          <w:color w:val="000000"/>
          <w:spacing w:val="-6"/>
        </w:rPr>
      </w:pPr>
      <w:r>
        <w:lastRenderedPageBreak/>
        <w:t xml:space="preserve">Đứng trước tình hình đó việc tham mưu một chế độ chính sách mới là một nhu cầu cấp bách và cần thiết. Được sự quan tâm của Lãnh đạo Ủy ban nhân dân Thành phố, Lãnh đạo Sở và các ban, ngành, đoàn thể đặc biệt là sự quan tâm chỉ đạo phối hợp của các Ban thuộc Hội đồng nhân dân Thành phố và trải qua một quy trình xây dựng văn bản quy phạm pháp luật với các bước chặt chẽ, dự thảo Nghị quyết về một </w:t>
      </w:r>
      <w:r>
        <w:rPr>
          <w:color w:val="000000"/>
          <w:spacing w:val="-6"/>
        </w:rPr>
        <w:t>số chính sách đặc thù đối với vận động viên, huấn luyện viên của Thành phố Hồ Chí Minh</w:t>
      </w:r>
      <w:r>
        <w:rPr>
          <w:color w:val="000000"/>
          <w:spacing w:val="-6"/>
        </w:rPr>
        <w:t xml:space="preserve"> đã ra đời.</w:t>
      </w:r>
    </w:p>
    <w:p w:rsidR="00BA1675" w:rsidRDefault="00BA1675" w:rsidP="006C3A42">
      <w:pPr>
        <w:tabs>
          <w:tab w:val="left" w:pos="540"/>
        </w:tabs>
        <w:spacing w:before="120" w:after="120"/>
        <w:ind w:firstLine="629"/>
        <w:rPr>
          <w:color w:val="000000"/>
          <w:spacing w:val="-6"/>
        </w:rPr>
      </w:pPr>
      <w:r>
        <w:rPr>
          <w:color w:val="000000"/>
          <w:spacing w:val="-6"/>
        </w:rPr>
        <w:t xml:space="preserve">Ngày </w:t>
      </w:r>
      <w:r>
        <w:rPr>
          <w:color w:val="000000"/>
          <w:spacing w:val="-6"/>
        </w:rPr>
        <w:t>04 tháng 7 năm 2022</w:t>
      </w:r>
      <w:r w:rsidRPr="00BA1675">
        <w:rPr>
          <w:color w:val="000000"/>
          <w:spacing w:val="-6"/>
        </w:rPr>
        <w:t xml:space="preserve"> </w:t>
      </w:r>
      <w:r>
        <w:rPr>
          <w:color w:val="000000"/>
          <w:spacing w:val="-6"/>
        </w:rPr>
        <w:t xml:space="preserve">Nghị quyết số 05/2022/NQ-HĐND của Hội đồng nhân dân Thành phố về một số chính sách đặc thù đối với vận động viên, huấn luyện viên của Thành phố Hồ Chí Minh </w:t>
      </w:r>
      <w:r>
        <w:rPr>
          <w:color w:val="000000"/>
          <w:spacing w:val="-6"/>
        </w:rPr>
        <w:t>được thông qua và</w:t>
      </w:r>
      <w:r>
        <w:rPr>
          <w:color w:val="000000"/>
          <w:spacing w:val="-6"/>
        </w:rPr>
        <w:t xml:space="preserve"> đưa vào triển khai thực hiện đã tạo ra một động lực rất lớn đối với lực lượng huấn luyện viên, vận động viên Thành phố. Tất cả các chế độ đặc thù đối với các huấn luyện viên, vận động viên Thành phố đều tăng và đáp ứng cũng như khuyến khích được quá trình tập luyện hăng say giành thành tích về cho Thành phố như: chế độ dinh dưỡng đối với huấn luyện viên, vận động viên thuộc đội tuyển năng khiếu thành phố, đội tuyển thể thao Người khuyết tật, đội tuyển cấp huyện; chế độ trợ cấp trách nhiệm thường xuyên; chế độ trợ cấp đẳng cấp; chế độ ưu đãi vận động viên tài năng; chế độ khuyến khích đối với huấn luyện viên, vận động viên thể thao tại các giải thể thao; chế độ hỗ trợ tiền tiêu vặt đối với huấn luyện viên, vận động viên trong thời gian tập huấn, thi đấu tại nước ngoài. … </w:t>
      </w:r>
      <w:r w:rsidR="00885B73">
        <w:rPr>
          <w:color w:val="000000"/>
          <w:spacing w:val="-6"/>
        </w:rPr>
        <w:t xml:space="preserve">Ngoài mức chi bằng và cao hơn mức chi được quy định theo </w:t>
      </w:r>
      <w:r w:rsidR="00885B73">
        <w:t>Nghị định số 152/2018/NĐ-CP</w:t>
      </w:r>
      <w:r w:rsidR="00885B73">
        <w:t xml:space="preserve">, Nghị quyết </w:t>
      </w:r>
      <w:r w:rsidR="00885B73">
        <w:rPr>
          <w:color w:val="000000"/>
          <w:spacing w:val="-6"/>
        </w:rPr>
        <w:t>05/2022/NQ-HĐND</w:t>
      </w:r>
      <w:r w:rsidR="00885B73">
        <w:rPr>
          <w:color w:val="000000"/>
          <w:spacing w:val="-6"/>
        </w:rPr>
        <w:t xml:space="preserve"> đã có những điểm mới rất sáng tạo và nhân văn như mức chi chế độ khuyến khích cho các vận động viên nữ tại các giải quốc gia và quốc tế cao hơn 10% so với vận động viên nam; quy định chế độ trợ cấp tài năng khi vận động viên đạt thành tích tại các giải quốc tế (ngoài chế độ dinh dưỡng và tiền lương hàng tháng, các </w:t>
      </w:r>
      <w:r w:rsidR="006C3A42">
        <w:rPr>
          <w:color w:val="000000"/>
          <w:spacing w:val="-6"/>
        </w:rPr>
        <w:t>vận động viên</w:t>
      </w:r>
      <w:r w:rsidR="00885B73">
        <w:rPr>
          <w:color w:val="000000"/>
          <w:spacing w:val="-6"/>
        </w:rPr>
        <w:t xml:space="preserve"> đạt thành tích tại các giải quốc tế sẽ nhận được trợ cấp hàng tháng với số tiền tương ứng với thành tích các vận động viên đạt được theo chu kỳ của giải)</w:t>
      </w:r>
      <w:r w:rsidR="0063100D">
        <w:rPr>
          <w:color w:val="000000"/>
          <w:spacing w:val="-6"/>
        </w:rPr>
        <w:t>; chế độ khuyến khích của vận động viên khuyết tật bằng với vận động viên bình thường</w:t>
      </w:r>
      <w:r w:rsidR="00CD260F">
        <w:rPr>
          <w:color w:val="000000"/>
          <w:spacing w:val="-6"/>
        </w:rPr>
        <w:t xml:space="preserve"> (Nghị định </w:t>
      </w:r>
      <w:r w:rsidR="00CD260F">
        <w:t>152/2018/NĐ-CP</w:t>
      </w:r>
      <w:r w:rsidR="00CD260F">
        <w:t xml:space="preserve"> quy định tiền thưởng của vận động viên khuyết tật thấp hơn vận động viên bình thường)</w:t>
      </w:r>
      <w:bookmarkStart w:id="0" w:name="_GoBack"/>
      <w:bookmarkEnd w:id="0"/>
      <w:r w:rsidR="00885B73">
        <w:rPr>
          <w:color w:val="000000"/>
          <w:spacing w:val="-6"/>
        </w:rPr>
        <w:t>.</w:t>
      </w:r>
      <w:r w:rsidR="006C3A42">
        <w:rPr>
          <w:color w:val="000000"/>
          <w:spacing w:val="-6"/>
        </w:rPr>
        <w:t xml:space="preserve"> Với các mức chi mới được quy định trong </w:t>
      </w:r>
      <w:r w:rsidR="006C3A42">
        <w:rPr>
          <w:color w:val="000000"/>
          <w:spacing w:val="-6"/>
        </w:rPr>
        <w:t>Nghị quyết số 05/2022/NQ-HĐND</w:t>
      </w:r>
      <w:r w:rsidR="006C3A42">
        <w:rPr>
          <w:color w:val="000000"/>
          <w:spacing w:val="-6"/>
        </w:rPr>
        <w:t xml:space="preserve">, ngành Thể dục thể thao Thành phố phần nào được tiếp thêm động lực trong bối cảnh còn nhiều khó khăn mà ngành phải vượt qua để đạt được những chì tiêu đề ra trong Đề án </w:t>
      </w:r>
      <w:r w:rsidR="001D6E97">
        <w:rPr>
          <w:color w:val="000000"/>
          <w:spacing w:val="-6"/>
        </w:rPr>
        <w:t>phát triển thể dục thể thao Thành phố đến năm 2035 mà Lãnh đạo Thành phố đã giao phó.</w:t>
      </w:r>
    </w:p>
    <w:p w:rsidR="001D6E97" w:rsidRDefault="001D6E97" w:rsidP="001D6E97">
      <w:pPr>
        <w:tabs>
          <w:tab w:val="left" w:pos="540"/>
        </w:tabs>
        <w:spacing w:before="120" w:after="120"/>
        <w:ind w:firstLine="629"/>
        <w:rPr>
          <w:color w:val="000000"/>
          <w:spacing w:val="-6"/>
        </w:rPr>
      </w:pPr>
      <w:r>
        <w:t>T</w:t>
      </w:r>
      <w:r>
        <w:t>ừ ngày Nghị quyết số 05/2022/NQ-HĐND có hiệu lực đến nay</w:t>
      </w:r>
      <w:r>
        <w:t xml:space="preserve"> (số liệu thống kê đến giữa năm 2023)</w:t>
      </w:r>
      <w:r>
        <w:t xml:space="preserve">, Sở đã ban hành </w:t>
      </w:r>
      <w:r w:rsidRPr="00395159">
        <w:rPr>
          <w:b/>
        </w:rPr>
        <w:t>21</w:t>
      </w:r>
      <w:r w:rsidRPr="002F55E3">
        <w:rPr>
          <w:b/>
        </w:rPr>
        <w:t>0</w:t>
      </w:r>
      <w:r w:rsidRPr="00111E33">
        <w:t xml:space="preserve"> quyết định thực hiện chế độ khuyến khích cho hơn </w:t>
      </w:r>
      <w:r w:rsidRPr="00395159">
        <w:rPr>
          <w:b/>
        </w:rPr>
        <w:t>643</w:t>
      </w:r>
      <w:r w:rsidRPr="00111E33">
        <w:t xml:space="preserve"> huấn luyện viên và </w:t>
      </w:r>
      <w:r w:rsidRPr="00395159">
        <w:rPr>
          <w:b/>
        </w:rPr>
        <w:t>2</w:t>
      </w:r>
      <w:r>
        <w:rPr>
          <w:b/>
        </w:rPr>
        <w:t>.</w:t>
      </w:r>
      <w:r w:rsidRPr="00395159">
        <w:rPr>
          <w:b/>
        </w:rPr>
        <w:t>885</w:t>
      </w:r>
      <w:r w:rsidRPr="00111E33">
        <w:t xml:space="preserve"> vận động viên đạt thành tích tại các giải quốc gia và quốc tế</w:t>
      </w:r>
      <w:r>
        <w:t>,</w:t>
      </w:r>
      <w:r w:rsidRPr="00111E33">
        <w:t xml:space="preserve"> </w:t>
      </w:r>
      <w:r w:rsidRPr="00395159">
        <w:rPr>
          <w:b/>
        </w:rPr>
        <w:t>36</w:t>
      </w:r>
      <w:r w:rsidRPr="00111E33">
        <w:t xml:space="preserve"> quyết định trợ cấp ưu đãi cho </w:t>
      </w:r>
      <w:r w:rsidRPr="00395159">
        <w:rPr>
          <w:b/>
        </w:rPr>
        <w:t>226</w:t>
      </w:r>
      <w:r w:rsidRPr="00111E33">
        <w:t xml:space="preserve"> vận động viên tài năng.</w:t>
      </w:r>
      <w:r>
        <w:t xml:space="preserve"> Kinh phí thực hiện </w:t>
      </w:r>
      <w:r>
        <w:t xml:space="preserve">trong năm 2022 </w:t>
      </w:r>
      <w:r w:rsidRPr="008E7AB9">
        <w:t xml:space="preserve">khoảng </w:t>
      </w:r>
      <w:r>
        <w:rPr>
          <w:b/>
        </w:rPr>
        <w:t>119</w:t>
      </w:r>
      <w:r w:rsidRPr="008E7AB9">
        <w:rPr>
          <w:b/>
        </w:rPr>
        <w:t xml:space="preserve"> </w:t>
      </w:r>
      <w:r w:rsidRPr="008E7AB9">
        <w:t xml:space="preserve">tỷ đồng, trong đó chi chế độ khuyến khích </w:t>
      </w:r>
      <w:r>
        <w:rPr>
          <w:b/>
        </w:rPr>
        <w:t>82,12</w:t>
      </w:r>
      <w:r w:rsidRPr="008E7AB9">
        <w:t xml:space="preserve"> tỷ đồng, chế độ</w:t>
      </w:r>
      <w:r>
        <w:t xml:space="preserve"> ưu đãi tài năng </w:t>
      </w:r>
      <w:r>
        <w:rPr>
          <w:b/>
        </w:rPr>
        <w:t>12,8</w:t>
      </w:r>
      <w:r w:rsidRPr="008E7AB9">
        <w:rPr>
          <w:b/>
        </w:rPr>
        <w:t xml:space="preserve"> </w:t>
      </w:r>
      <w:r w:rsidRPr="008E7AB9">
        <w:t xml:space="preserve">tỷ đồng, chế độ trợ cấp trách nhiệm thường xuyên cho huấn luyện viên, vận động viên tập huấn đội tuyển quốc gia </w:t>
      </w:r>
      <w:r>
        <w:rPr>
          <w:b/>
        </w:rPr>
        <w:t>8,1</w:t>
      </w:r>
      <w:r w:rsidRPr="008E7AB9">
        <w:t xml:space="preserve"> </w:t>
      </w:r>
      <w:r w:rsidRPr="008E7AB9">
        <w:lastRenderedPageBreak/>
        <w:t xml:space="preserve">tỷ đồng và các chế độ khác </w:t>
      </w:r>
      <w:r w:rsidRPr="00F12D22">
        <w:rPr>
          <w:b/>
        </w:rPr>
        <w:t>16,1</w:t>
      </w:r>
      <w:r w:rsidRPr="008E7AB9">
        <w:t xml:space="preserve"> </w:t>
      </w:r>
      <w:r>
        <w:t xml:space="preserve">tỷ </w:t>
      </w:r>
      <w:r w:rsidRPr="008E7AB9">
        <w:t>đồ</w:t>
      </w:r>
      <w:r>
        <w:t>ng</w:t>
      </w:r>
      <w:r>
        <w:t xml:space="preserve">. Năm 2023 kinh phí thực hiện cho việc chi các chế độ theo Nghị </w:t>
      </w:r>
      <w:r>
        <w:t>quyết số 05/2022/NQ-HĐND</w:t>
      </w:r>
      <w:r>
        <w:t xml:space="preserve"> ước đạt </w:t>
      </w:r>
      <w:r w:rsidRPr="001D6E97">
        <w:rPr>
          <w:b/>
        </w:rPr>
        <w:t>180</w:t>
      </w:r>
      <w:r>
        <w:t xml:space="preserve"> tỷ tăng gần </w:t>
      </w:r>
      <w:r w:rsidRPr="001D6E97">
        <w:rPr>
          <w:b/>
        </w:rPr>
        <w:t>60</w:t>
      </w:r>
      <w:r>
        <w:t xml:space="preserve"> tỷ so với năm 2022.</w:t>
      </w:r>
    </w:p>
    <w:p w:rsidR="00BA1675" w:rsidRDefault="00210BDE" w:rsidP="00210BDE">
      <w:pPr>
        <w:tabs>
          <w:tab w:val="left" w:pos="540"/>
        </w:tabs>
        <w:spacing w:before="120" w:after="120"/>
        <w:ind w:firstLine="629"/>
      </w:pPr>
      <w:r>
        <w:t>Nghị quyết số 05/2022/NQ-HĐND</w:t>
      </w:r>
      <w:r>
        <w:t xml:space="preserve"> ra đời đã tác động tích cực đến sự phát triển của thể thao Thành phố, đã phần nào hạn chế được tình trạng chảy máu chất xám</w:t>
      </w:r>
      <w:r w:rsidR="00770DB1">
        <w:t xml:space="preserve">. Tâm lý huấn luyện </w:t>
      </w:r>
      <w:r w:rsidR="00646267">
        <w:t>viên, vận động viên phấn khởi, có thêm động lực để an tâm công tác, cống hiến sức mình cho thể thao Thành phố.</w:t>
      </w:r>
    </w:p>
    <w:p w:rsidR="00646267" w:rsidRDefault="00646267" w:rsidP="00210BDE">
      <w:pPr>
        <w:tabs>
          <w:tab w:val="left" w:pos="540"/>
        </w:tabs>
        <w:spacing w:before="120" w:after="120"/>
        <w:ind w:firstLine="629"/>
      </w:pPr>
      <w:r>
        <w:t xml:space="preserve">Vận động viên là trung tâm của quá trình đào tạo. Huấn luyện viên và </w:t>
      </w:r>
      <w:r w:rsidR="00ED53AC">
        <w:t>các</w:t>
      </w:r>
      <w:r>
        <w:t xml:space="preserve"> lực lượng khác đóng vai trò là những thành tố không thể thiếu của quá trình tạo nên thành tích của các vận động viên. Chính vì thế chế độ chính sách của lực lượng </w:t>
      </w:r>
      <w:r w:rsidR="00210BE0">
        <w:t>vận động viên</w:t>
      </w:r>
      <w:r w:rsidR="00210BE0">
        <w:t>,</w:t>
      </w:r>
      <w:r w:rsidR="00210BE0">
        <w:t xml:space="preserve"> </w:t>
      </w:r>
      <w:r w:rsidR="00210BE0">
        <w:t>huấn luyện viên và các lực lượng khác rất cần được quan tâm và đề xuất trong thời gian sắp tới nhằm đáp ứng thực tiễn nhu cầu</w:t>
      </w:r>
      <w:r w:rsidR="00ED53AC">
        <w:t xml:space="preserve"> phát triển của thể thao Thành phố./.</w:t>
      </w:r>
    </w:p>
    <w:p w:rsidR="00ED53AC" w:rsidRDefault="00ED53AC" w:rsidP="00210BDE">
      <w:pPr>
        <w:tabs>
          <w:tab w:val="left" w:pos="540"/>
        </w:tabs>
        <w:spacing w:before="120" w:after="120"/>
        <w:ind w:firstLine="629"/>
      </w:pPr>
    </w:p>
    <w:p w:rsidR="00ED53AC" w:rsidRDefault="00ED53AC" w:rsidP="00ED53AC">
      <w:pPr>
        <w:tabs>
          <w:tab w:val="left" w:pos="540"/>
        </w:tabs>
        <w:spacing w:before="120" w:after="120"/>
        <w:jc w:val="right"/>
      </w:pPr>
      <w:r>
        <w:t>PHÒNG QUẢN LÝ THỂ DỤC THỂ THAO</w:t>
      </w:r>
    </w:p>
    <w:p w:rsidR="00646267" w:rsidRDefault="00646267" w:rsidP="00646267">
      <w:pPr>
        <w:tabs>
          <w:tab w:val="left" w:pos="540"/>
        </w:tabs>
        <w:spacing w:before="120" w:after="120"/>
      </w:pPr>
    </w:p>
    <w:sectPr w:rsidR="0064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A3"/>
    <w:rsid w:val="001D6E97"/>
    <w:rsid w:val="00210BDE"/>
    <w:rsid w:val="00210BE0"/>
    <w:rsid w:val="003A3FD6"/>
    <w:rsid w:val="003C32A3"/>
    <w:rsid w:val="005C3D7F"/>
    <w:rsid w:val="0063100D"/>
    <w:rsid w:val="00646267"/>
    <w:rsid w:val="006B6B36"/>
    <w:rsid w:val="006C3A42"/>
    <w:rsid w:val="00770DB1"/>
    <w:rsid w:val="008113FC"/>
    <w:rsid w:val="00885B73"/>
    <w:rsid w:val="00AD7595"/>
    <w:rsid w:val="00BA1675"/>
    <w:rsid w:val="00CA465B"/>
    <w:rsid w:val="00CD260F"/>
    <w:rsid w:val="00D30354"/>
    <w:rsid w:val="00ED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3039"/>
  <w15:chartTrackingRefBased/>
  <w15:docId w15:val="{2267395F-2343-464F-B18A-546B9759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2A3"/>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TMTHong</dc:creator>
  <cp:keywords/>
  <dc:description/>
  <cp:lastModifiedBy>TMTHong</cp:lastModifiedBy>
  <cp:revision>9</cp:revision>
  <dcterms:created xsi:type="dcterms:W3CDTF">2024-01-09T03:47:00Z</dcterms:created>
  <dcterms:modified xsi:type="dcterms:W3CDTF">2024-01-09T08:50:00Z</dcterms:modified>
</cp:coreProperties>
</file>